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France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05:00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预测比分：France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公平概率：88.0%  |  凯莉比例：0%  |  变异系数CV：1.42%  |  价值值：-1.4%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  <w:tc>
          <w:tcPr>
            <w:tcW w:type="dxa" w:w="3513"/>
          </w:tcPr>
          <w:p>
            <w:r>
              <w:t>44.0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1.12  |  每100元回报：¥112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1.12 @ 1.12  |  每100元回报：¥112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2-0 @ 2.8  |  每100元回报：¥280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概率一致性：预测概率88.0% vs 市场隐含概率91.7%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