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公平概率：78.5%  |  凯莉比例：0%  |  变异系数CV：2.2%  |  价值值：-2.6%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15.0</w:t>
            </w:r>
          </w:p>
        </w:tc>
        <w:tc>
          <w:tcPr>
            <w:tcW w:type="dxa" w:w="3513"/>
          </w:tcPr>
          <w:p>
            <w:r>
              <w:t>15.0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结论一致性：预测Argentina胜，赔率1.19，凯莉0%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概率一致性：预测概率78.5% vs 市场隐含概率84.0% — 偏差5.5%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