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公平概率：55.2%  |  凯莉比例：0%  |  变异系数CV：1.74%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5.0</w:t>
            </w:r>
          </w:p>
        </w:tc>
        <w:tc>
          <w:tcPr>
            <w:tcW w:type="dxa" w:w="3513"/>
          </w:tcPr>
          <w:p>
            <w:r>
              <w:t>5.0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1.8  |  每100元回报：¥180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1.8 @ 1.8  |  每100元回报：¥180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4.5  |  每100元回报：¥450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概率一致性：预测概率55.2% vs 市场隐含概率57.5% — 偏差2.3%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