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公平概率：61.8%  |  凯莉比例：0%  |  变异系数CV：2.05%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7.4</w:t>
            </w:r>
          </w:p>
        </w:tc>
        <w:tc>
          <w:tcPr>
            <w:tcW w:type="dxa" w:w="3513"/>
          </w:tcPr>
          <w:p>
            <w:r>
              <w:t>7.4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1.6  |  每100元回报：¥160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1.6 @ 1.6  |  每100元回报：¥160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4.0  |  每100元回报：¥400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概率一致性：预测概率61.8% vs 市场隐含概率64.9%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