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USA vs Australia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03:00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推荐方向：USA胜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预测比分：USA 2-1 Australia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公平概率：59.9%  |  凯莉比例：0%  |  变异系数CV：1.93%  |  价值值：-0.6%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USA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  <w:tc>
          <w:tcPr>
            <w:tcW w:type="dxa" w:w="3513"/>
          </w:tcPr>
          <w:p>
            <w:r>
              <w:t>1.66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Australia</w:t>
            </w:r>
          </w:p>
        </w:tc>
        <w:tc>
          <w:tcPr>
            <w:tcW w:type="dxa" w:w="3513"/>
          </w:tcPr>
          <w:p>
            <w:r>
              <w:t>5.64</w:t>
            </w:r>
          </w:p>
        </w:tc>
        <w:tc>
          <w:tcPr>
            <w:tcW w:type="dxa" w:w="3513"/>
          </w:tcPr>
          <w:p>
            <w:r>
              <w:t>5.64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1.66  |  每100元回报：¥166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推荐：USA胜 @ 1.66 @ 1.66  |  每100元回报：¥166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USA 2-1 @ 4.15  |  每100元回报：¥415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结论一致性：预测USA胜，赔率1.6，凯莉0%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概率一致性：预测概率59.9% vs 市场隐含概率62.5% — 偏差2.6%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