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Cape Verde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推荐方向：Saudi Arabia胜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预测比分：Cape Verde 1-1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公平概率：39.4%  |  凯莉比例：0%  |  变异系数CV：4.52%  |  价值值：+0.4%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2.85</w:t>
            </w:r>
          </w:p>
        </w:tc>
        <w:tc>
          <w:tcPr>
            <w:tcW w:type="dxa" w:w="3513"/>
          </w:tcPr>
          <w:p>
            <w:r>
              <w:t>2.14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1.91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 @ 1.91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Saudi Arabia 1-1 @ 4.77  |  每100元回报：¥477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结论一致性：预测Saudi Arabia胜，赔率2.38，凯莉0%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概率一致性：预测概率39.4% vs 市场隐含概率42.0% — 偏差2.6%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市场共识：中等（CV=4.52%）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