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公平概率：62.5%  |  凯莉比例：0%  |  变异系数CV：1.87%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5.62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1.21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3.02  |  每100元回报：¥302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概率一致性：预测概率62.5% vs 市场隐含概率65.4%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