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公平概率：55.7%  |  凯莉比例：0%  |  变异系数CV：3.36%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  <w:tc>
          <w:tcPr>
            <w:tcW w:type="dxa" w:w="3513"/>
          </w:tcPr>
          <w:p>
            <w:r>
              <w:t>3.94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概率一致性：预测概率55.7% vs 市场隐含概率59.5%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