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公平概率：55.4%  |  凯莉比例：0%  |  变异系数CV：2.09%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5.0</w:t>
            </w:r>
          </w:p>
        </w:tc>
        <w:tc>
          <w:tcPr>
            <w:tcW w:type="dxa" w:w="3513"/>
          </w:tcPr>
          <w:p>
            <w:r>
              <w:t>3.75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概率一致性：预测概率55.4% vs 市场隐含概率57.8%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