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公平概率：55.1%  |  凯莉比例：0%  |  变异系数CV：2.1%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5.8</w:t>
            </w:r>
          </w:p>
        </w:tc>
        <w:tc>
          <w:tcPr>
            <w:tcW w:type="dxa" w:w="3513"/>
          </w:tcPr>
          <w:p>
            <w:r>
              <w:t>4.35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1.81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概率一致性：预测概率55.1% vs 市场隐含概率57.5%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