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South Africa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推荐方向：South Korea胜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预测比分：South Africa 1-2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公平概率：59.4%  |  凯莉比例：0%  |  变异系数CV：3.1%  |  价值值：-0.2%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South Africa</w:t>
            </w:r>
          </w:p>
        </w:tc>
        <w:tc>
          <w:tcPr>
            <w:tcW w:type="dxa" w:w="3513"/>
          </w:tcPr>
          <w:p>
            <w:r>
              <w:t>6.0</w:t>
            </w:r>
          </w:p>
        </w:tc>
        <w:tc>
          <w:tcPr>
            <w:tcW w:type="dxa" w:w="3513"/>
          </w:tcPr>
          <w:p>
            <w:r>
              <w:t>4.5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  <w:tc>
          <w:tcPr>
            <w:tcW w:type="dxa" w:w="3513"/>
          </w:tcPr>
          <w:p>
            <w:r>
              <w:t>1.26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1.26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South Korea 1-2 @ 3.15  |  每100元回报：¥315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结论一致性：预测South Korea胜，赔率1.58，凯莉0%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概率一致性：预测概率59.4% vs 市场隐含概率63.3% — 偏差3.9%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