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Spain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1-2 Spain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公平概率：61.4%  |  凯莉比例：0%  |  变异系数CV：2.93%  |  价值值：-1.7%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1-2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结论一致性：预测Spain胜，赔率1.52，凯莉0%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概率一致性：预测概率61.4% vs 市场隐含概率65.8% — 偏差4.4%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