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Franc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2 Franc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2.4%  |  凯莉比例：0%  |  变异系数CV：2.75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4.4</w:t>
            </w:r>
          </w:p>
        </w:tc>
        <w:tc>
          <w:tcPr>
            <w:tcW w:type="dxa" w:w="3513"/>
          </w:tcPr>
          <w:p>
            <w:r>
              <w:t>3.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1-2 @ 3.47  |  每100元回报：¥34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7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2.4% vs 市场隐含概率55.9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