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England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0-2 England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公平概率：75.0%  |  凯莉比例：0%  |  变异系数CV：2.91%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13.0</w:t>
            </w:r>
          </w:p>
        </w:tc>
        <w:tc>
          <w:tcPr>
            <w:tcW w:type="dxa" w:w="3513"/>
          </w:tcPr>
          <w:p>
            <w:r>
              <w:t>9.75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1.32</w:t>
            </w:r>
          </w:p>
        </w:tc>
        <w:tc>
          <w:tcPr>
            <w:tcW w:type="dxa" w:w="3513"/>
          </w:tcPr>
          <w:p>
            <w:r>
              <w:t>0.99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0.99  |  每100元回报：¥99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0.99 @ 0.99  |  每100元回报：¥99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0-2 @ 2.48  |  每100元回报：¥248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结论一致性：预测England胜，赔率1.25，凯莉0%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概率一致性：预测概率75.0% vs 市场隐含概率80.0%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