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公平概率：55.1%  |  凯莉比例：0%  |  变异系数CV：2.1%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5.8</w:t>
            </w:r>
          </w:p>
        </w:tc>
        <w:tc>
          <w:tcPr>
            <w:tcW w:type="dxa" w:w="3513"/>
          </w:tcPr>
          <w:p>
            <w:r>
              <w:t>4.35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概率一致性：预测概率55.1% vs 市场隐含概率57.5%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