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Spain vs Saudi Arabia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00:00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推荐方向：Spain胜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预测比分：Spain 2-0 Saudi Arabia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公平概率：86.8%  |  凯莉比例：0%  |  变异系数CV：1.33%  |  价值值：-1.9%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Spain</w:t>
            </w:r>
          </w:p>
        </w:tc>
        <w:tc>
          <w:tcPr>
            <w:tcW w:type="dxa" w:w="3513"/>
          </w:tcPr>
          <w:p>
            <w:r>
              <w:t>1.13</w:t>
            </w:r>
          </w:p>
        </w:tc>
        <w:tc>
          <w:tcPr>
            <w:tcW w:type="dxa" w:w="3513"/>
          </w:tcPr>
          <w:p>
            <w:r>
              <w:t>0.85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Saudi Arabia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  <w:tc>
          <w:tcPr>
            <w:tcW w:type="dxa" w:w="3513"/>
          </w:tcPr>
          <w:p>
            <w:r>
              <w:t>26.25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0.85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Spain 2-0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结论一致性：预测Spain胜，赔率1.1，凯莉0%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概率一致性：预测概率86.8% vs 市场隐含概率90.9% — 偏差4.1%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市场共识：极高（CV=1.33%）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