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公平概率：66.5%  |  凯莉比例：0%  |  变异系数CV：2.5%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7.75</w:t>
            </w:r>
          </w:p>
        </w:tc>
        <w:tc>
          <w:tcPr>
            <w:tcW w:type="dxa" w:w="3513"/>
          </w:tcPr>
          <w:p>
            <w:r>
              <w:t>7.75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Herzegovina胜，赔率1.43，凯莉0%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概率一致性：预测概率66.5% vs 市场隐含概率69.9%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