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公平概率：86.6%  |  凯莉比例：0%  |  变异系数CV：1.69%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27.0</w:t>
            </w:r>
          </w:p>
        </w:tc>
        <w:tc>
          <w:tcPr>
            <w:tcW w:type="dxa" w:w="3513"/>
          </w:tcPr>
          <w:p>
            <w:r>
              <w:t>27.0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概率一致性：预测概率86.6% vs 市场隐含概率90.1%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市场共识：极高（CV=1.69%）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