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公平概率：63.6%  |  凯莉比例：0%  |  变异系数CV：2.19%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8.0</w:t>
            </w:r>
          </w:p>
        </w:tc>
        <w:tc>
          <w:tcPr>
            <w:tcW w:type="dxa" w:w="3513"/>
          </w:tcPr>
          <w:p>
            <w:r>
              <w:t>8.0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1.55  |  每100元回报：¥155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1.55 @ 1.55  |  每100元回报：¥155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3.88  |  每100元回报：¥388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概率一致性：预测概率63.6% vs 市场隐含概率66.7%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