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公平概率：58.7%  |  凯莉比例：0%  |  变异系数CV：3.64%  |  价值值：-1.5%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6.25</w:t>
            </w:r>
          </w:p>
        </w:tc>
        <w:tc>
          <w:tcPr>
            <w:tcW w:type="dxa" w:w="3513"/>
          </w:tcPr>
          <w:p>
            <w:r>
              <w:t>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概率一致性：预测概率58.7% vs 市场隐含概率62.5%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