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公平概率：44.5%  |  凯莉比例：0%  |  变异系数CV：4.28%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3.4</w:t>
            </w:r>
          </w:p>
        </w:tc>
        <w:tc>
          <w:tcPr>
            <w:tcW w:type="dxa" w:w="3513"/>
          </w:tcPr>
          <w:p>
            <w:r>
              <w:t>3.4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概率一致性：预测概率44.5% vs 市场隐含概率47.6%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市场共识：中等（CV=4.28%）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