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公平概率：44.4%  |  凯莉比例：0%  |  变异系数CV：3.3%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2.24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5.6  |  每100元回报：¥560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概率一致性：预测概率44.4% vs 市场隐含概率47.2%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