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公平概率：55.1%  |  凯莉比例：0%  |  变异系数CV：1.83%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5.2</w:t>
            </w:r>
          </w:p>
        </w:tc>
        <w:tc>
          <w:tcPr>
            <w:tcW w:type="dxa" w:w="3513"/>
          </w:tcPr>
          <w:p>
            <w:r>
              <w:t>5.2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1.8  |  每100元回报：¥180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1.8 @ 1.8  |  每100元回报：¥180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4.5  |  每100元回报：¥450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概率一致性：预测概率55.1% vs 市场隐含概率57.1%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