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Belgium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0-2 Belgium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公平概率：76.8%  |  凯莉比例：0%  |  变异系数CV：2.81%  |  价值值：-0.1%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  <w:tc>
          <w:tcPr>
            <w:tcW w:type="dxa" w:w="3513"/>
          </w:tcPr>
          <w:p>
            <w:r>
              <w:t>14.0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1.3</w:t>
            </w:r>
          </w:p>
        </w:tc>
        <w:tc>
          <w:tcPr>
            <w:tcW w:type="dxa" w:w="3513"/>
          </w:tcPr>
          <w:p>
            <w:r>
              <w:t>1.3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1.3 @ 1.3  |  每100元回报：¥130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0-2 @ 3.25  |  每100元回报：¥325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结论一致性：预测Belgium胜，赔率1.22，凯莉0%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概率一致性：预测概率76.8% vs 市场隐含概率82.0% — 偏差5.2%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