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公平概率：62.0%  |  凯莉比例：0%  |  变异系数CV：1.76%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1.59</w:t>
            </w:r>
          </w:p>
        </w:tc>
        <w:tc>
          <w:tcPr>
            <w:tcW w:type="dxa" w:w="3513"/>
          </w:tcPr>
          <w:p>
            <w:r>
              <w:t>1.59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1.59  |  每100元回报：¥159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1.59 @ 1.59  |  每100元回报：¥159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3.98  |  每100元回报：¥398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概率一致性：预测概率62.0% vs 市场隐含概率64.9%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