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公平概率：66.9%  |  凯莉比例：0%  |  变异系数CV：2.77%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8.25</w:t>
            </w:r>
          </w:p>
        </w:tc>
        <w:tc>
          <w:tcPr>
            <w:tcW w:type="dxa" w:w="3513"/>
          </w:tcPr>
          <w:p>
            <w:r>
              <w:t>8.25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概率一致性：预测概率66.9% vs 市场隐含概率70.9% — 偏差4.0%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