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公平概率：86.9%  |  凯莉比例：0%  |  变异系数CV：1.57%  |  价值值：-0.9%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34.0</w:t>
            </w:r>
          </w:p>
        </w:tc>
        <w:tc>
          <w:tcPr>
            <w:tcW w:type="dxa" w:w="3513"/>
          </w:tcPr>
          <w:p>
            <w:r>
              <w:t>34.0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1.14  |  每100元回报：¥114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1.14 @ 1.14  |  每100元回报：¥114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2.85  |  每100元回报：¥285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概率一致性：预测概率86.9% vs 市场隐含概率90.9% — 偏差4.0%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