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公平概率：65.4%  |  凯莉比例：0%  |  变异系数CV：1.64%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1.51</w:t>
            </w:r>
          </w:p>
        </w:tc>
        <w:tc>
          <w:tcPr>
            <w:tcW w:type="dxa" w:w="3513"/>
          </w:tcPr>
          <w:p>
            <w:r>
              <w:t>1.51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9.2</w:t>
            </w:r>
          </w:p>
        </w:tc>
        <w:tc>
          <w:tcPr>
            <w:tcW w:type="dxa" w:w="3513"/>
          </w:tcPr>
          <w:p>
            <w:r>
              <w:t>9.2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1.51  |  每100元回报：¥151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1.51 @ 1.51  |  每100元回报：¥151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3.77  |  每100元回报：¥377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概率一致性：预测概率65.4% vs 市场隐含概率68.5%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