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Canada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06:00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推荐方向：Canada胜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预测比分：Canada 2-0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公平概率：73.5%  |  凯莉比例：0%  |  变异系数CV：1.31%  |  价值值：-0.7%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  <w:tc>
          <w:tcPr>
            <w:tcW w:type="dxa" w:w="3513"/>
          </w:tcPr>
          <w:p>
            <w:r>
              <w:t>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Canada 2-0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结论一致性：预测Canada胜，赔率1.31，凯莉0%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概率一致性：预测概率73.5% vs 市场隐含概率76.3%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