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Czech Republic vs Mexico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预测比分：Czech Republic 1-2 Mexico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公平概率：53.2%  |  凯莉比例：0%  |  变异系数CV：3.77%  |  价值值：-0.0%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Czech Republic</w:t>
            </w:r>
          </w:p>
        </w:tc>
        <w:tc>
          <w:tcPr>
            <w:tcW w:type="dxa" w:w="3513"/>
          </w:tcPr>
          <w:p>
            <w:r>
              <w:t>5.0</w:t>
            </w:r>
          </w:p>
        </w:tc>
        <w:tc>
          <w:tcPr>
            <w:tcW w:type="dxa" w:w="3513"/>
          </w:tcPr>
          <w:p>
            <w:r>
              <w:t>3.75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1.88</w:t>
            </w:r>
          </w:p>
        </w:tc>
        <w:tc>
          <w:tcPr>
            <w:tcW w:type="dxa" w:w="3513"/>
          </w:tcPr>
          <w:p>
            <w:r>
              <w:t>1.41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1-2 @ 3.52  |  每100元回报：¥352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结论一致性：预测Mexico胜，赔率1.77，凯莉0%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概率一致性：预测概率53.2% vs 市场隐含概率56.5%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市场共识：中等（CV=3.77%）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