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Germany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1-2 Germany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公平概率：55.7%  |  凯莉比例：0%  |  变异系数CV：3.36%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5.25</w:t>
            </w:r>
          </w:p>
        </w:tc>
        <w:tc>
          <w:tcPr>
            <w:tcW w:type="dxa" w:w="3513"/>
          </w:tcPr>
          <w:p>
            <w:r>
              <w:t>3.94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1-2 @ 3.33  |  每100元回报：¥333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结论一致性：预测Germany胜，赔率1.68，凯莉0%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概率一致性：预测概率55.7% vs 市场隐含概率59.5%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