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公平概率：78.5%  |  凯莉比例：0%  |  变异系数CV：2.25%  |  价值值：-2.7%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16.0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0.93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2.33  |  每100元回报：¥233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概率一致性：预测概率78.5% vs 市场隐含概率83.3% — 偏差4.8%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