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Curaçao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推荐方向：Ivory Coast胜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预测比分：Curaçao 0-2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公平概率：83.5%  |  凯莉比例：0%  |  变异系数CV：2.27%  |  价值值：-2.2%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23.0</w:t>
            </w:r>
          </w:p>
        </w:tc>
        <w:tc>
          <w:tcPr>
            <w:tcW w:type="dxa" w:w="3513"/>
          </w:tcPr>
          <w:p>
            <w:r>
              <w:t>17.25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1.17</w:t>
            </w:r>
          </w:p>
        </w:tc>
        <w:tc>
          <w:tcPr>
            <w:tcW w:type="dxa" w:w="3513"/>
          </w:tcPr>
          <w:p>
            <w:r>
              <w:t>0.88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0.88  |  每100元回报：¥88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0.88 @ 0.88  |  每100元回报：¥88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Ivory Coast 0-2 @ 2.2  |  每100元回报：¥220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结论一致性：预测Ivory Coast胜，赔率1.13，凯莉0%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概率一致性：预测概率83.5% vs 市场隐含概率88.5%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