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Germany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04:00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预测比分：Germany 2-1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公平概率：62.4%  |  凯莉比例：0%  |  变异系数CV：1.26%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1.18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6.4</w:t>
            </w:r>
          </w:p>
        </w:tc>
        <w:tc>
          <w:tcPr>
            <w:tcW w:type="dxa" w:w="3513"/>
          </w:tcPr>
          <w:p>
            <w:r>
              <w:t>4.8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2-1 @ 2.95  |  每100元回报：¥295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概率一致性：预测概率62.4% vs 市场隐含概率65.4%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