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公平概率：55.5%  |  凯莉比例：0%  |  变异系数CV：2.48%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4.69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概率一致性：预测概率55.5% vs 市场隐含概率57.8%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