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公平概率：44.9%  |  凯莉比例：0%  |  变异系数CV：3.48%  |  价值值：-1.1%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3.7</w:t>
            </w:r>
          </w:p>
        </w:tc>
        <w:tc>
          <w:tcPr>
            <w:tcW w:type="dxa" w:w="3513"/>
          </w:tcPr>
          <w:p>
            <w:r>
              <w:t>2.78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概率一致性：预测概率44.9% vs 市场隐含概率47.6%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市场共识：高（CV=3.48%）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