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公平概率：62.5%  |  凯莉比例：0%  |  变异系数CV：1.87%  |  价值值：+0.7%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7.5</w:t>
            </w:r>
          </w:p>
        </w:tc>
        <w:tc>
          <w:tcPr>
            <w:tcW w:type="dxa" w:w="3513"/>
          </w:tcPr>
          <w:p>
            <w:r>
              <w:t>5.62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1.21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3.02  |  每100元回报：¥302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概率一致性：预测概率62.5% vs 市场隐含概率65.4%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