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Netherlands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0-2 Netherlands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公平概率：71.9%  |  凯莉比例：0%  |  变异系数CV：2.38%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  <w:tc>
          <w:tcPr>
            <w:tcW w:type="dxa" w:w="3513"/>
          </w:tcPr>
          <w:p>
            <w:r>
              <w:t>7.88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0-2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概率一致性：预测概率71.9% vs 市场隐含概率76.9%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