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公平概率：47.4%  |  凯莉比例：0%  |  变异系数CV：1.94%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  <w:tc>
          <w:tcPr>
            <w:tcW w:type="dxa" w:w="3513"/>
          </w:tcPr>
          <w:p>
            <w:r>
              <w:t>3.19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概率一致性：预测概率47.4% vs 市场隐含概率49.5%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