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公平概率：39.7%  |  凯莉比例：0%  |  变异系数CV：3.42%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2.92</w:t>
            </w:r>
          </w:p>
        </w:tc>
        <w:tc>
          <w:tcPr>
            <w:tcW w:type="dxa" w:w="3513"/>
          </w:tcPr>
          <w:p>
            <w:r>
              <w:t>2.19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1.84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4.6  |  每100元回报：¥460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概率一致性：预测概率39.7% vs 市场隐含概率42.4%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