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Microsoft YaHei"/>
          <w:b/>
          <w:color w:val="2E74B5"/>
          <w:sz w:val="20"/>
        </w:rPr>
        <w:t>SIMULINK / SPECIALIZED POWER SYSTEMS 技术审计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48"/>
        </w:rPr>
        <w:t>PV-ESS混合交流/直流微电网</w:t>
      </w:r>
    </w:p>
    <w:p>
      <w:pPr>
        <w:spacing w:after="300"/>
      </w:pPr>
      <w:r>
        <w:rPr>
          <w:rFonts w:ascii="Calibri" w:hAnsi="Calibri" w:eastAsia="Microsoft YaHei"/>
          <w:b/>
          <w:color w:val="1F4D78"/>
          <w:sz w:val="34"/>
        </w:rPr>
        <w:t>阶段15最终工程修改与验证报告</w:t>
      </w:r>
    </w:p>
    <w:p>
      <w:pPr>
        <w:spacing w:before="0" w:after="40"/>
      </w:pPr>
      <w:r>
        <w:rPr>
          <w:rFonts w:ascii="Calibri" w:hAnsi="Calibri" w:eastAsia="Microsoft YaHei"/>
          <w:b/>
          <w:color w:val="0B2545"/>
          <w:sz w:val="21"/>
        </w:rPr>
        <w:t>对象：</w:t>
      </w:r>
      <w:r>
        <w:rPr>
          <w:rFonts w:ascii="Calibri" w:hAnsi="Calibri" w:eastAsia="Microsoft YaHei"/>
          <w:color w:val="0B2545"/>
          <w:sz w:val="21"/>
        </w:rPr>
        <w:t>manul_model_stage15_complete.slx（实验副本，原模型未修改）</w:t>
      </w:r>
    </w:p>
    <w:p>
      <w:pPr>
        <w:spacing w:before="0" w:after="40"/>
      </w:pPr>
      <w:r>
        <w:rPr>
          <w:rFonts w:ascii="Calibri" w:hAnsi="Calibri" w:eastAsia="Microsoft YaHei"/>
          <w:b/>
          <w:color w:val="0B2545"/>
          <w:sz w:val="21"/>
        </w:rPr>
        <w:t>范围：</w:t>
      </w:r>
      <w:r>
        <w:rPr>
          <w:rFonts w:ascii="Calibri" w:hAnsi="Calibri" w:eastAsia="Microsoft YaHei"/>
          <w:color w:val="0B2545"/>
          <w:sz w:val="21"/>
        </w:rPr>
        <w:t>0.6 s交流负载阶跃、完整4 s事件序列、电池/并网保护、AC/DC恒功率负载</w:t>
      </w:r>
    </w:p>
    <w:p>
      <w:pPr>
        <w:spacing w:before="0" w:after="40"/>
      </w:pPr>
      <w:r>
        <w:rPr>
          <w:rFonts w:ascii="Calibri" w:hAnsi="Calibri" w:eastAsia="Microsoft YaHei"/>
          <w:b/>
          <w:color w:val="0B2545"/>
          <w:sz w:val="21"/>
        </w:rPr>
        <w:t>依据：</w:t>
      </w:r>
      <w:r>
        <w:rPr>
          <w:rFonts w:ascii="Calibri" w:hAnsi="Calibri" w:eastAsia="Microsoft YaHei"/>
          <w:color w:val="0B2545"/>
          <w:sz w:val="21"/>
        </w:rPr>
        <w:t>Hu等，Applied Energy 221 (2018)，第4.2节、表1、表2、图16-17</w:t>
      </w:r>
    </w:p>
    <w:p>
      <w:pPr>
        <w:spacing w:before="0" w:after="40"/>
      </w:pPr>
      <w:r>
        <w:rPr>
          <w:rFonts w:ascii="Calibri" w:hAnsi="Calibri" w:eastAsia="Microsoft YaHei"/>
          <w:b/>
          <w:color w:val="0B2545"/>
          <w:sz w:val="21"/>
        </w:rPr>
        <w:t>环境：</w:t>
      </w:r>
      <w:r>
        <w:rPr>
          <w:rFonts w:ascii="Calibri" w:hAnsi="Calibri" w:eastAsia="Microsoft YaHei"/>
          <w:color w:val="0B2545"/>
          <w:sz w:val="21"/>
        </w:rPr>
        <w:t>MATLAB/Simulink R2025a；Specialized Power Systems；电力步长2 us</w:t>
      </w:r>
    </w:p>
    <w:p>
      <w:pPr>
        <w:spacing w:before="0" w:after="40"/>
      </w:pPr>
      <w:r>
        <w:rPr>
          <w:rFonts w:ascii="Calibri" w:hAnsi="Calibri" w:eastAsia="Microsoft YaHei"/>
          <w:b/>
          <w:color w:val="0B2545"/>
          <w:sz w:val="21"/>
        </w:rPr>
        <w:t>状态：</w:t>
      </w:r>
      <w:r>
        <w:rPr>
          <w:rFonts w:ascii="Calibri" w:hAnsi="Calibri" w:eastAsia="Microsoft YaHei"/>
          <w:color w:val="0B2545"/>
          <w:sz w:val="21"/>
        </w:rPr>
        <w:t>工程验证通过；属于18 mF工程变体，不宣称严格6 mF逐参数复现</w:t>
      </w:r>
    </w:p>
    <w:p>
      <w:pPr>
        <w:spacing w:before="200" w:after="240"/>
        <w:pBdr>
          <w:bottom w:val="single" w:sz="14" w:space="8" w:color="2E74B5"/>
        </w:pBdr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C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最终判定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当前实验副本在真实AC/DC恒功率负载下完成阶段15全事件序列。1 MW直流CPL投入时Vdc最低1079.80 V（约0.90 pu），11.04 ms回到±2%带；0.6 s交流CPL阶跃后稳态1199.75±2.20 V。未使用理想电压钳位、波形回放、负载降额、额定功率放宽或继续增加电容来获得结果。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1. 执行摘要</w:t>
      </w:r>
    </w:p>
    <w:p>
      <w:pPr/>
      <w:r>
        <w:rPr>
          <w:rFonts w:ascii="Calibri" w:hAnsi="Calibri" w:eastAsia="Microsoft YaHei"/>
          <w:color w:val="0B2545"/>
        </w:rPr>
        <w:t>最初的0.6 s失稳并非单一双环PI故障，而是功率前馈方向、储能功率级动态、三相物理接线和时序输入外推共同作用。完成根因修复后，本轮进一步把原有工程薄弱点变成可执行保护，并用恒功率负载重新施压。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050"/>
        <w:gridCol w:w="3700"/>
        <w:gridCol w:w="281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审计维度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关键证据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结论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 s交流CPL阶跃</w:t>
            </w:r>
          </w:p>
        </w:tc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通过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1158.51-1220.41 V；稳态1199.75±2.20 V</w:t>
            </w:r>
          </w:p>
        </w:tc>
        <w:tc>
          <w:tcPr>
            <w:tcW w:type="dxa" w:w="28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孤岛双环可恢复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完整4 s AC/DC CPL</w:t>
            </w:r>
          </w:p>
        </w:tc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通过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Vdc全局1079.80-1368.67 V；最终1200.91 V</w:t>
            </w:r>
          </w:p>
        </w:tc>
        <w:tc>
          <w:tcPr>
            <w:tcW w:type="dxa" w:w="28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全部事件有限稳定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电池额定边界</w:t>
            </w:r>
          </w:p>
        </w:tc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工程通过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-501.0/+505.8 kW；动态限制实际动作</w:t>
            </w:r>
          </w:p>
        </w:tc>
        <w:tc>
          <w:tcPr>
            <w:tcW w:type="dxa" w:w="28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约1.16%开关暂态峰值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并网容量边界</w:t>
            </w:r>
          </w:p>
        </w:tc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通过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2.5 MVA、690 V侧限流；正常工况动作0 s</w:t>
            </w:r>
          </w:p>
        </w:tc>
        <w:tc>
          <w:tcPr>
            <w:tcW w:type="dxa" w:w="28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无误限幅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恒功率真实性</w:t>
            </w:r>
          </w:p>
        </w:tc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通过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0.6/1.0 MW误差0.0057%/0.0132%</w:t>
            </w:r>
          </w:p>
        </w:tc>
        <w:tc>
          <w:tcPr>
            <w:tcW w:type="dxa" w:w="28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负增量阻抗真实参与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严格论文复现</w:t>
            </w:r>
          </w:p>
        </w:tc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不宣称</w:t>
            </w:r>
          </w:p>
        </w:tc>
        <w:tc>
          <w:tcPr>
            <w:tcW w:type="dxa" w:w="3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Cdc=18 mF，论文为6 mF；电网等值简化</w:t>
            </w:r>
          </w:p>
        </w:tc>
        <w:tc>
          <w:tcPr>
            <w:tcW w:type="dxa" w:w="28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定位为工程复现变体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pageBreakBefore/>
      </w:pPr>
      <w:r>
        <w:t>2. 原问题位置、原因与因果链</w:t>
      </w:r>
    </w:p>
    <w:p>
      <w:pPr>
        <w:pStyle w:val="Heading2"/>
        <w:keepNext/>
        <w:keepLines/>
      </w:pPr>
      <w:r>
        <w:t>2.1 0.6 s交流负载增加时的原始失稳</w:t>
      </w:r>
    </w:p>
    <w:p>
      <w:pPr/>
      <w:r>
        <w:rPr>
          <w:rFonts w:ascii="Calibri" w:hAnsi="Calibri" w:eastAsia="Microsoft YaHei"/>
          <w:color w:val="0B2545"/>
        </w:rPr>
        <w:t>孤岛运行时，MPVC建立交流母线，电池双向DC/DC的外电压-内电流双环维持1200 V直流母线。交流负载由0.5 MW增加到1.0 MW后，电池必须由充电快速反向到放电。原模型的功率前馈方向却在缺功率时把电流指令推向充电侧；11.25 mH电感又限制了电流反向速度，最终使Vdc下降并削弱逆变器电压裕量。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CD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确认的失稳链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Pac上升 → Pnet=Ppv-Pac-Pdc变负 → Iforward=Pnet/Vbat为负 → 原“PI+Iforward”降低放电指令 → 大电感限制di/dt → Vdc失去支撑 → 交流桥电压裕量不足。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2.2 同时存在的非控制器问题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交流阶跃负载断路器B/C相曾落入同一物理网络，导致负载投入后三相不平衡；该问题不能靠PI或MPC权重补偿。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直流负载与电网标幺输入使用线性外推，最后一个阶跃边沿会被无限延伸，可能产生负电阻或巨大负电压指令。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完整论文事件与0.6 s独立回归使用了不同的基础负载定义，若混用会错误比较事件功率。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低负载、PV仍发电且电池充电饱和时，剩余能量没有物理去路，需要源侧限发而不是继续提高PI。</w:t>
      </w:r>
    </w:p>
    <w:p>
      <w:pPr>
        <w:pStyle w:val="Heading1"/>
        <w:keepNext/>
        <w:keepLines/>
        <w:pageBreakBefore/>
      </w:pPr>
      <w:r>
        <w:t>3. 已实施的根因修复</w:t>
      </w:r>
    </w:p>
    <w:p>
      <w:pPr>
        <w:pStyle w:val="Heading2"/>
        <w:keepNext/>
        <w:keepLines/>
      </w:pPr>
      <w:r>
        <w:t>3.1 功率方向、储能功率级和双环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将Sum10由“PI + Iforward”改为“PI - Iforward”，统一正电池电流=向母线放电的符号定义。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电池串联电感由11.25 mH恢复为0.5 mH工程值，使大信号电流反向速度满足母线能量缺口。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电流PI由Kp=0.1、Ki=0.15改为Kp=0.005、Ki=0.05，避免约2.5 A误差即撞击±0.25占空比校正限幅。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保留电压外环Kp=4、Ki=650与100 us采样；占空比最终范围仍为0.05-0.95。</w:t>
      </w:r>
    </w:p>
    <w:p>
      <w:pPr>
        <w:pStyle w:val="Heading2"/>
        <w:keepNext/>
        <w:keepLines/>
      </w:pPr>
      <w:r>
        <w:t>3.2 拓扑、输入与能量管理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重新连接Three-Phase Breaker2的C相到独立C相母线；0.6 s回归三相不平衡为0.1899%。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Rdc1/Rdc2、辐照度和电网标幺输入改为保持最终值，消除阶跃后的非物理外推。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完整场景基础交流负载设为1 W近似开路，0.5 s投入0.5 MW；独立回归通过SimulationInput覆盖为0.5→1.0 MW。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新增PV过压限发、锁存和无扰切换：电池充电达到边界后，通过真实Boost占空比降低PV功率。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将3.5 s事件实现为可编程三相电源幅值真实下降，并保留电网RL等值和接地。</w:t>
      </w:r>
    </w:p>
    <w:p>
      <w:pPr>
        <w:pStyle w:val="Heading1"/>
        <w:keepNext/>
        <w:keepLines/>
        <w:pageBreakBefore/>
      </w:pPr>
      <w:r>
        <w:t>4. 本轮工程保护与抗饱和改造</w:t>
      </w:r>
    </w:p>
    <w:p>
      <w:pPr>
        <w:pStyle w:val="Heading2"/>
        <w:keepNext/>
        <w:keepLines/>
      </w:pPr>
      <w:r>
        <w:t>4.1 Battery_Reference_Protection</w:t>
      </w:r>
    </w:p>
    <w:p>
      <w:pPr/>
      <w:r>
        <w:rPr>
          <w:rFonts w:ascii="Calibri" w:hAnsi="Calibri" w:eastAsia="Microsoft YaHei"/>
          <w:color w:val="0B2545"/>
        </w:rPr>
        <w:t>原SOC保护被替换为由标准Simulink块组成的分层电流参考保护。它以实测电池电压、硬件电流额定和0.5 MW端口功率额定共同确定可执行电流，并在SOC边界附近平滑降额。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2900"/>
        <w:gridCol w:w="23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最终设置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修改原因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影响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Vbat处理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200 Hz一阶LPF；270 V除数下限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抑制开关纹波并避免低压除零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仅参与参考换算，不钳位母线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放电上限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min(1666.7 A, 500 kW/Vbat_safe)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同时满足器件电流与端口功率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Vbat变化时额定边界一致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充电下限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-min(1666.7 A, 500 kW/Vbat_safe)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充放电采用同一功率原则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负电流为充电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SOC放电降额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10%以下0；10-15%线性恢复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避免SOC下限硬切换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改善模式切换连续性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SOC充电降额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85%保持1；85-90%降到0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提前释放充电能力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与90%上限一致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PI跟踪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Tracking Kt=143；一拍延迟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外环输出受限时防积分累积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消除跨层饱和脱节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内环输出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Dcorr=-0.25…+0.20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与Db0=0.75、最终Db≤0.95一致</w:t>
            </w:r>
          </w:p>
        </w:tc>
        <w:tc>
          <w:tcPr>
            <w:tcW w:type="dxa" w:w="23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不再产生不可执行正校正</w:t>
            </w:r>
          </w:p>
        </w:tc>
      </w:tr>
    </w:tbl>
    <w:p>
      <w:pPr>
        <w:spacing w:after="40"/>
      </w:pPr>
    </w:p>
    <w:p>
      <w:pPr>
        <w:spacing w:before="8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1937854"/>
            <wp:docPr id="1" name="Picture 1" descr="图1  Battery_Reference_Protection自动布局后的标准块接线" title="图1  Battery_Reference_Protection自动布局后的标准块接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5_battery_reference_protection_arrang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37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5B6573"/>
          <w:sz w:val="18"/>
        </w:rPr>
        <w:t>图1  Battery_Reference_Protection自动布局后的标准块接线</w:t>
      </w:r>
    </w:p>
    <w:p>
      <w:pPr>
        <w:pStyle w:val="Heading2"/>
        <w:keepNext/>
        <w:keepLines/>
      </w:pPr>
      <w:r>
        <w:t>4.2 网侧2.5 MVA P/Q电流限制</w:t>
      </w:r>
    </w:p>
    <w:p>
      <w:pPr/>
      <w:r>
        <w:rPr>
          <w:rFonts w:ascii="Calibri" w:hAnsi="Calibri" w:eastAsia="Microsoft YaHei"/>
          <w:color w:val="0B2545"/>
        </w:rPr>
        <w:t>新增Grid_PQ_Current_Limiter，使用实测690 V低压侧三相电压计算可用视在功率。在电压支撑时给予Q优先，剩余容量分配给P：Smax=√3·VLL·Irated，Pallow=√(Smax²-Qcmd²)。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000"/>
        <w:gridCol w:w="5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参数/逻辑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最终值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物理含义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变压器/变换器额定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2.5 MVA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论文额定容量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测量侧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690 V低压侧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grid_VI实际所在位置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额定电流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2091.85 A rms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2.5 MVA/(√3·690 V)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电压数值下限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69 V line-line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仅用于容量除算，避免近零电压病态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优先级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Q优先，P取剩余容量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保证电压跌落时无功支撑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最终4 s动作时间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 s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正常工况未被错误限幅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CD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保留的失败证据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第一次把690 V测量误按25 kV侧额定电流57.7 A换算，得到约250 kVA错误容量，造成Vdc 929-1782 V且Q被限制到约-250 kvar。该结果已以failed_wrong_side_grid_limit_20260817后缀保存，随后改为2091.85 A低压侧额定；未把失败结果删除或当作通过。</w:t>
            </w:r>
          </w:p>
        </w:tc>
      </w:tr>
    </w:tbl>
    <w:p>
      <w:pPr>
        <w:spacing w:after="40"/>
      </w:pPr>
    </w:p>
    <w:p>
      <w:pPr>
        <w:spacing w:before="8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1233114"/>
            <wp:docPr id="2" name="Picture 2" descr="图2  Grid_PQ_Current_Limiter自动布局后的Q优先容量圆限制" title="图2  Grid_PQ_Current_Limiter自动布局后的Q优先容量圆限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5_grid_pq_current_limiter_arrang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33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5B6573"/>
          <w:sz w:val="18"/>
        </w:rPr>
        <w:t>图2  Grid_PQ_Current_Limiter自动布局后的Q优先容量圆限制</w:t>
      </w:r>
    </w:p>
    <w:p>
      <w:pPr>
        <w:pStyle w:val="Heading1"/>
        <w:keepNext/>
        <w:keepLines/>
        <w:pageBreakBefore/>
      </w:pPr>
      <w:r>
        <w:t>5. AC/DC恒功率负载实现</w:t>
      </w:r>
    </w:p>
    <w:p>
      <w:pPr>
        <w:pStyle w:val="Heading2"/>
        <w:keepNext/>
        <w:keepLines/>
      </w:pPr>
      <w:r>
        <w:t>5.1 交流恒功率负载</w:t>
      </w:r>
    </w:p>
    <w:p>
      <w:pPr/>
      <w:r>
        <w:rPr>
          <w:rFonts w:ascii="Calibri" w:hAnsi="Calibri" w:eastAsia="Microsoft YaHei"/>
          <w:color w:val="0B2545"/>
        </w:rPr>
        <w:t>两组有功负载继续使用Specialized Power Systems自带Three-Phase Parallel RLC Load，只把LoadType由constant Z切换为constant PQ。滤波电容支路仍保持恒阻抗，不把无功滤波器误当成恒功率负载。</w:t>
      </w:r>
    </w:p>
    <w:p>
      <w:pPr>
        <w:pStyle w:val="Heading2"/>
        <w:keepNext/>
        <w:keepLines/>
      </w:pPr>
      <w:r>
        <w:t>5.2 直流恒功率负载</w:t>
      </w:r>
    </w:p>
    <w:p>
      <w:pPr/>
      <w:r>
        <w:rPr>
          <w:rFonts w:ascii="Calibri" w:hAnsi="Calibri" w:eastAsia="Microsoft YaHei"/>
          <w:color w:val="0B2545"/>
        </w:rPr>
        <w:t>保留原有SPS Variable Resistor电气元件，新建22个标准Simulink块的DC_CPL_Resistance_Command，以50 us更新周期计算R=Vdc(z-1)²/P。一拍延迟代表数字负载控制并打断理想代数环；840 V电压下限与0.2 Ω电阻下限是电流保护边界，不直接钳制Vdc。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设置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验证结果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采样周期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50 us</w:t>
            </w:r>
          </w:p>
        </w:tc>
        <w:tc>
          <w:tcPr>
            <w:tcW w:type="dxa" w:w="49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与MPC更新周期一致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电压保护下限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840 V (0.70 pu)</w:t>
            </w:r>
          </w:p>
        </w:tc>
        <w:tc>
          <w:tcPr>
            <w:tcW w:type="dxa" w:w="49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最终最低1079.80 V，未触发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开路电阻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 MΩ</w:t>
            </w:r>
          </w:p>
        </w:tc>
        <w:tc>
          <w:tcPr>
            <w:tcW w:type="dxa" w:w="49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P≤100 W时近似断开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最小电阻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0.2 Ω</w:t>
            </w:r>
          </w:p>
        </w:tc>
        <w:tc>
          <w:tcPr>
            <w:tcW w:type="dxa" w:w="49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与SPS Variable Resistor限制一致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 MW跟踪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600034 W</w:t>
            </w:r>
          </w:p>
        </w:tc>
        <w:tc>
          <w:tcPr>
            <w:tcW w:type="dxa" w:w="49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误差+0.0057%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1.0 MW跟踪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1000132 W</w:t>
            </w:r>
          </w:p>
        </w:tc>
        <w:tc>
          <w:tcPr>
            <w:tcW w:type="dxa" w:w="49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误差+0.0132%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实际最小R2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1.1679 Ω</w:t>
            </w:r>
          </w:p>
        </w:tc>
        <w:tc>
          <w:tcPr>
            <w:tcW w:type="dxa" w:w="49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明显高于840 V保护对应0.7056 Ω</w:t>
            </w:r>
          </w:p>
        </w:tc>
      </w:tr>
    </w:tbl>
    <w:p>
      <w:pPr>
        <w:spacing w:after="40"/>
      </w:pPr>
    </w:p>
    <w:p>
      <w:pPr>
        <w:spacing w:before="8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2508053"/>
            <wp:docPr id="3" name="Picture 3" descr="图3  DC_CPL_Resistance_Command：标准块实现的R=Vdc²/P与开路/物理边界" title="图3  DC_CPL_Resistance_Command：标准块实现的R=Vdc²/P与开路/物理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5_dc_cpl_resistance_command_arrang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08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5B6573"/>
          <w:sz w:val="18"/>
        </w:rPr>
        <w:t>图3  DC_CPL_Resistance_Command：标准块实现的R=Vdc²/P与开路/物理边界</w:t>
      </w:r>
    </w:p>
    <w:p>
      <w:pPr>
        <w:pStyle w:val="Heading1"/>
        <w:keepNext/>
        <w:keepLines/>
        <w:pageBreakBefore/>
      </w:pPr>
      <w:r>
        <w:t>6. 并网直流母线外环重新整定</w:t>
      </w:r>
    </w:p>
    <w:p>
      <w:pPr>
        <w:pStyle w:val="Heading2"/>
        <w:keepNext/>
        <w:keepLines/>
      </w:pPr>
      <w:r>
        <w:t>6.1 为什么20 Hz在CPL下出现深跌落</w:t>
      </w:r>
    </w:p>
    <w:p>
      <w:pPr/>
      <w:r>
        <w:rPr>
          <w:rFonts w:ascii="Calibri" w:hAnsi="Calibri" w:eastAsia="Microsoft YaHei"/>
          <w:color w:val="0B2545"/>
        </w:rPr>
        <w:t>论文第4.2节明确规定并网模式由互联变换器的直流母线外环PI生成有功参考。因此没有加入“预知负载功率前馈”，以免改变论文结构。现有20 Hz、ζ≈0.707参数为Kp≈3839 W/V、Ki≈3.41×10^5 W/(V·s)；要改变1 MW指令，仅比例项就需要约260 V误差。真实1 MW CPL下最低Vdc因此降到870.35 V。</w:t>
      </w:r>
    </w:p>
    <w:p>
      <w:pPr/>
      <w:r>
        <w:rPr>
          <w:rFonts w:ascii="Calibri" w:hAnsi="Calibri" w:eastAsia="Microsoft YaHei"/>
          <w:color w:val="0B2545"/>
        </w:rPr>
        <w:t>按小信号能量模型C·Vdc·dVdc/dt=ΔP，同阻尼参数为：Kp=2ζωnCdcVdc，Ki=ωn²CdcVdc。本次只扫描闭环带宽，保持Cdc、负载、额定容量和保护阈值不变。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250"/>
        <w:gridCol w:w="1650"/>
        <w:gridCol w:w="1500"/>
        <w:gridCol w:w="1250"/>
        <w:gridCol w:w="1200"/>
        <w:gridCol w:w="146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带宽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Kp (W/V)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Ki (W/(V·s))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1 MW时Vdc最低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恢复时间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稳态σ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限流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20 Hz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3838.7</w:t>
            </w:r>
          </w:p>
        </w:tc>
        <w:tc>
          <w:tcPr>
            <w:tcW w:type="dxa" w:w="1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3.411e5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870.35 V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45.92 ms</w:t>
            </w:r>
          </w:p>
        </w:tc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2.789 V</w:t>
            </w:r>
          </w:p>
        </w:tc>
        <w:tc>
          <w:tcPr>
            <w:tcW w:type="dxa" w:w="14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 s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30 Hz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5758.0</w:t>
            </w:r>
          </w:p>
        </w:tc>
        <w:tc>
          <w:tcPr>
            <w:tcW w:type="dxa" w:w="1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7.675e5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990.24 V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28.64 ms</w:t>
            </w:r>
          </w:p>
        </w:tc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2.817 V</w:t>
            </w:r>
          </w:p>
        </w:tc>
        <w:tc>
          <w:tcPr>
            <w:tcW w:type="dxa" w:w="14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 s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40 Hz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7677.3</w:t>
            </w:r>
          </w:p>
        </w:tc>
        <w:tc>
          <w:tcPr>
            <w:tcW w:type="dxa" w:w="1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1.364e6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1046.66 V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14.56 ms</w:t>
            </w:r>
          </w:p>
        </w:tc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2.721 V</w:t>
            </w:r>
          </w:p>
        </w:tc>
        <w:tc>
          <w:tcPr>
            <w:tcW w:type="dxa" w:w="14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 s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50 Hz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9596.6</w:t>
            </w:r>
          </w:p>
        </w:tc>
        <w:tc>
          <w:tcPr>
            <w:tcW w:type="dxa" w:w="1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2.132e6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1077.64 V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10.72 ms</w:t>
            </w:r>
          </w:p>
        </w:tc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2.650 V</w:t>
            </w:r>
          </w:p>
        </w:tc>
        <w:tc>
          <w:tcPr>
            <w:tcW w:type="dxa" w:w="14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 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C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选型结论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50 Hz候选的P参考峰值约2.03 MW，低于2.2 MW命令边界；完整4 s回归中最低1079.80 V，恢复11.04 ms，且负载切除过渡也改善。因此采用50 Hz，而不是继续追求更高带宽。</w:t>
            </w:r>
          </w:p>
        </w:tc>
      </w:tr>
    </w:tbl>
    <w:p>
      <w:pPr>
        <w:spacing w:after="40"/>
      </w:pPr>
    </w:p>
    <w:p>
      <w:pPr>
        <w:spacing w:before="8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542479"/>
            <wp:docPr id="4" name="Picture 4" descr="图4  20/30/40/50 Hz同阻尼外环扫描（相同硬件与负载）" title="图4  20/30/40/50 Hz同阻尼外环扫描（相同硬件与负载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5_grid_pi_cpl_swee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42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5B6573"/>
          <w:sz w:val="18"/>
        </w:rPr>
        <w:t>图4  20/30/40/50 Hz同阻尼外环扫描（相同硬件与负载）</w:t>
      </w:r>
    </w:p>
    <w:p>
      <w:pPr>
        <w:pStyle w:val="Heading1"/>
        <w:keepNext/>
        <w:keepLines/>
        <w:pageBreakBefore/>
      </w:pPr>
      <w:r>
        <w:t>7. 仿真验证结果</w:t>
      </w:r>
    </w:p>
    <w:p>
      <w:pPr>
        <w:pStyle w:val="Heading2"/>
        <w:keepNext/>
        <w:keepLines/>
      </w:pPr>
      <w:r>
        <w:t>7.1 0.6 s交流恒功率负载0.5→1.0 MW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阶跃前Vdc</w:t>
            </w:r>
          </w:p>
        </w:tc>
        <w:tc>
          <w:tcPr>
            <w:tcW w:type="dxa" w:w="6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1200.026±1.905 V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暂态范围</w:t>
            </w:r>
          </w:p>
        </w:tc>
        <w:tc>
          <w:tcPr>
            <w:tcW w:type="dxa" w:w="6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1158.513-1220.411 V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0.82-0.90 s稳态</w:t>
            </w:r>
          </w:p>
        </w:tc>
        <w:tc>
          <w:tcPr>
            <w:tcW w:type="dxa" w:w="6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1199.746±2.195 V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稳态三相RMS</w:t>
            </w:r>
          </w:p>
        </w:tc>
        <w:tc>
          <w:tcPr>
            <w:tcW w:type="dxa" w:w="6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396.561 / 397.315 / 397.081 V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三相不平衡</w:t>
            </w:r>
          </w:p>
        </w:tc>
        <w:tc>
          <w:tcPr>
            <w:tcW w:type="dxa" w:w="6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0.18991%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互联交流功率</w:t>
            </w:r>
          </w:p>
        </w:tc>
        <w:tc>
          <w:tcPr>
            <w:tcW w:type="dxa" w:w="6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0.993146 MW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电池稳态功率</w:t>
            </w:r>
          </w:p>
        </w:tc>
        <w:tc>
          <w:tcPr>
            <w:tcW w:type="dxa" w:w="6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+0.271857 MW（正值放电）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电池/并网限流</w:t>
            </w:r>
          </w:p>
        </w:tc>
        <w:tc>
          <w:tcPr>
            <w:tcW w:type="dxa" w:w="6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 s / 0 s</w:t>
            </w:r>
          </w:p>
        </w:tc>
      </w:tr>
    </w:tbl>
    <w:p>
      <w:pPr>
        <w:spacing w:after="40"/>
      </w:pPr>
    </w:p>
    <w:p>
      <w:pPr>
        <w:spacing w:before="8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698765"/>
            <wp:docPr id="5" name="Picture 5" descr="图5  0.6 s交流恒功率负载阶跃回归" title="图5  0.6 s交流恒功率负载阶跃回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_step_0p6s_regre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9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5B6573"/>
          <w:sz w:val="18"/>
        </w:rPr>
        <w:t>图5  0.6 s交流恒功率负载阶跃回归</w:t>
      </w:r>
    </w:p>
    <w:p>
      <w:pPr>
        <w:pStyle w:val="Heading2"/>
        <w:keepNext/>
        <w:keepLines/>
      </w:pPr>
      <w:r>
        <w:t>7.2 完整4 s阶段15事件序列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300"/>
        <w:gridCol w:w="2700"/>
        <w:gridCol w:w="2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事件窗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时间(s)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Vdc均值±标准差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最小-最大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交流负载前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0.30-0.45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1208.686±0.724 V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1207.001-1210.516 V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交流负载后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0.70-0.90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1199.709±1.753 V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1194.897-1204.435 V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0.6 MW DC CPL后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1.12-1.20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1199.181±2.416 V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1192.712-1205.073 V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并网后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1.70-1.75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1199.226±2.785 V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1193.611-1205.258 V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高辐照并网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2.20-2.40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1199.977±9.817 V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1164.229-1226.057 V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 MW DC CPL投入后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2.58-2.70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1199.885±2.644 V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1194.351-1207.153 V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 MW DC CPL切除后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3.10-3.20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1197.475±6.911 V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1174.406-1213.205 V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电网跌落后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3.75-3.90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1199.639±1.951 V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1195.272-1204.591 V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0B2545"/>
        </w:rPr>
        <w:t>全局Vdc最低1079.795 V（2.50432 s），最高1368.666 V（0.02656 s启动暂态），最终1200.905 V。全部记录信号有限；MPVC/MPPC代价函数最大值分别0.99618/0.48081。</w:t>
      </w:r>
    </w:p>
    <w:p>
      <w:pPr>
        <w:spacing w:before="8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801214"/>
            <wp:docPr id="6" name="Picture 6" descr="图6  最终阶段15：直流母线、有功平衡与Q-V下垂" title="图6  最终阶段15：直流母线、有功平衡与Q-V下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5_complete_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01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5B6573"/>
          <w:sz w:val="18"/>
        </w:rPr>
        <w:t>图6  最终阶段15：直流母线、有功平衡与Q-V下垂</w:t>
      </w:r>
    </w:p>
    <w:p>
      <w:pPr>
        <w:pStyle w:val="Heading2"/>
        <w:keepNext/>
        <w:keepLines/>
      </w:pPr>
      <w:r>
        <w:t>7.3 1 MW直流CPL大扰动</w:t>
      </w:r>
    </w:p>
    <w:p>
      <w:pPr/>
      <w:r>
        <w:rPr>
          <w:rFonts w:ascii="Calibri" w:hAnsi="Calibri" w:eastAsia="Microsoft YaHei"/>
          <w:color w:val="0B2545"/>
        </w:rPr>
        <w:t>1 MW负载在2.5 s保持真实恒功率，Vdc下降时电阻随Vdc²减小，未靠恒阻抗的自然降载减轻冲击。50 Hz网侧外环使有功参考更快由出口转为入口，Vdc最低约0.90 pu并在11.04 ms回到±2%带。</w:t>
      </w:r>
    </w:p>
    <w:p>
      <w:pPr>
        <w:spacing w:before="8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4011795"/>
            <wp:docPr id="7" name="Picture 7" descr="图7  1 MW DC CPL投入：母线、电源/负载功率和并网P参考" title="图7  1 MW DC CPL投入：母线、电源/负载功率和并网P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5_cpl_1MW_event_zo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1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5B6573"/>
          <w:sz w:val="18"/>
        </w:rPr>
        <w:t>图7  1 MW DC CPL投入：母线、电源/负载功率和并网P参考</w:t>
      </w:r>
    </w:p>
    <w:p>
      <w:pPr>
        <w:pStyle w:val="Heading2"/>
        <w:keepNext/>
        <w:keepLines/>
      </w:pPr>
      <w:r>
        <w:t>7.4 电网电压跌落与无功支撑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PCC跌落前相RMS</w:t>
            </w:r>
          </w:p>
        </w:tc>
        <w:tc>
          <w:tcPr>
            <w:tcW w:type="dxa" w:w="58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402.803 / 403.285 / 403.346 V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PCC跌落后相RMS</w:t>
            </w:r>
          </w:p>
        </w:tc>
        <w:tc>
          <w:tcPr>
            <w:tcW w:type="dxa" w:w="58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354.475 / 354.354 / 354.743 V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平均跌落比</w:t>
            </w:r>
          </w:p>
        </w:tc>
        <w:tc>
          <w:tcPr>
            <w:tcW w:type="dxa" w:w="58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0.879396 pu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Qref</w:t>
            </w:r>
          </w:p>
        </w:tc>
        <w:tc>
          <w:tcPr>
            <w:tcW w:type="dxa" w:w="58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-0.400000 Mvar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实际Q</w:t>
            </w:r>
          </w:p>
        </w:tc>
        <w:tc>
          <w:tcPr>
            <w:tcW w:type="dxa" w:w="58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-0.397603 Mvar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Vdc事件后窗口</w:t>
            </w:r>
          </w:p>
        </w:tc>
        <w:tc>
          <w:tcPr>
            <w:tcW w:type="dxa" w:w="58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1199.639±1.951 V</w:t>
            </w:r>
          </w:p>
        </w:tc>
      </w:tr>
    </w:tbl>
    <w:p>
      <w:pPr>
        <w:spacing w:after="40"/>
      </w:pPr>
    </w:p>
    <w:p>
      <w:pPr>
        <w:spacing w:before="8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619729"/>
            <wp:docPr id="8" name="Picture 8" descr="图8  3.5 s实际电网电压跌落与Q-V无功响应" title="图8  3.5 s实际电网电压跌落与Q-V无功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5_grid_dip_zo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9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5B6573"/>
          <w:sz w:val="18"/>
        </w:rPr>
        <w:t>图8  3.5 s实际电网电压跌落与Q-V无功响应</w:t>
      </w:r>
    </w:p>
    <w:p>
      <w:pPr>
        <w:pStyle w:val="Heading1"/>
        <w:keepNext/>
        <w:keepLines/>
        <w:pageBreakBefore/>
      </w:pPr>
      <w:r>
        <w:t>8. 物理与电气原理合规审计</w:t>
      </w:r>
    </w:p>
    <w:p>
      <w:pPr>
        <w:pStyle w:val="Heading2"/>
        <w:keepNext/>
        <w:keepLines/>
      </w:pPr>
      <w:r>
        <w:t>8.1 没有采用的结果导向手段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没有在直流母线并联隐藏理想受控电压源，也没有对Vdc测量信号做Saturation来伪造稳定。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没有回放预制稳定波形、修改To Workspace数据或改变后处理窗口来掩盖失稳。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没有把1 MW阶跃改成缓坡，没有降低负载功率，也没有提高2.5 MVA并网容量或0.5 MW电池额定。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没有为改善CPL结果继续增大18 mF母线电容；用户已接受不使用论文6 mF的工程差异。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没有加入论文未使用的负载功率预知前馈；最终改善来自论文外环PI的可解释带宽整定。</w:t>
      </w:r>
    </w:p>
    <w:p>
      <w:pPr>
        <w:pStyle w:val="Heading2"/>
        <w:keepNext/>
        <w:keepLines/>
      </w:pPr>
      <w:r>
        <w:t>8.2 需要明确披露的工程差异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1900"/>
        <w:gridCol w:w="3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当前模型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论文/严格复现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影响与边界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DC-link电容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18 mF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6 mF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物理可实现但储能为论文3倍；不能称逐参数复现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电网等值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25 kV可编程源+显式RL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25/120 kV、19 km馈线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PCC跌落0.879 pu，不等于论文约0.908 pu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启动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Vdc初值1200 V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硬件需预充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1368.7 V最大值发生在0.0266 s启动阶段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PV限发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1220/1185 V锁存阈值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论文主要按SOC触发Off-MPPT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属于新增能量守恒保护，需跨温度/辐照扫描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CPL电压保护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840 V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论文未给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本轮未触发，不影响最终波形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8.3 电池与限流结果解释</w:t>
      </w:r>
    </w:p>
    <w:p>
      <w:pPr/>
      <w:r>
        <w:rPr>
          <w:rFonts w:ascii="Calibri" w:hAnsi="Calibri" w:eastAsia="Microsoft YaHei"/>
          <w:color w:val="0B2545"/>
        </w:rPr>
        <w:t>电池端口最大约+505.78 kW，为0.5 MW额定的约1.16%瞬时超调；最小约-501.02 kW。动态电流参考限制累计动作约0.3904 s，说明保护确实参与而不是闲置。端口功率仍受开关纹波、滤波延迟和电池内阻影响，因此参考限幅不能数学上保证每个2 us样本都≤500 kW；若作为硬件设计，应另加器件峰值/热模型与快速过流跳闸。</w:t>
      </w:r>
    </w:p>
    <w:p>
      <w:pPr>
        <w:pStyle w:val="Heading1"/>
        <w:keepNext/>
        <w:keepLines/>
        <w:pageBreakBefore/>
      </w:pPr>
      <w:r>
        <w:t>9. 改动影响与工程结论</w:t>
      </w:r>
    </w:p>
    <w:p>
      <w:pPr>
        <w:pStyle w:val="Heading2"/>
        <w:keepNext/>
        <w:keepLines/>
      </w:pPr>
      <w:r>
        <w:t>9.1 正面影响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0.6 s交流负载问题在恒功率模型下仍可恢复，证明修复不是恒阻抗负载自然降载造成。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电池功率/电流/SOC约束、PI跟踪和可执行占空比边界形成一致的跨层保护链。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并网P/Q命令具有2.5 MVA容量圆约束，且690 V/25 kV测量侧量纲已核实。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网侧外环由20 Hz提高到50 Hz后，1 MW CPL最低电压提高约209.44 V，恢复时间减少约34.88 ms。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自动布局后新增子系统按信号流展开，结构审计为0个普通输入悬空。</w:t>
      </w:r>
    </w:p>
    <w:p>
      <w:pPr>
        <w:pStyle w:val="Heading2"/>
        <w:keepNext/>
        <w:keepLines/>
      </w:pPr>
      <w:r>
        <w:t>9.2 代价与剩余风险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50 Hz外环提高对高频功率纹波的敏感度；高辐照并网窗口Vdc标准差为9.82 V，仍需硬件噪声/延迟裕度验证。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0.5 mH电池电感提高电流纹波和di/dt，需要核对磁芯饱和、电感铜损和开关器件峰值电流。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18 mF电容增加体积、成本和预充能量；其可接受性取决于项目工程目标，而非论文一致性。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当前测试覆盖仿真稳定性，不等于已完成HIL、实时性、器件热模型、故障穿越和保护配合认证。</w:t>
      </w:r>
    </w:p>
    <w:p>
      <w:pPr>
        <w:pStyle w:val="Heading2"/>
        <w:keepNext/>
        <w:keepLines/>
      </w:pPr>
      <w:r>
        <w:t>9.3 当前项目定位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C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可用于简历的准确表述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“基于MATLAB/Simulink搭建并审计2 MW级PV-ESS混合AC/DC微电网，复现MPVC/MPPC、SOC-EMS、并网Q-V支撑；定位并修复储能前馈符号、三相接线和双环大信号问题；实现动态电池功率/SOC保护、2.5 MVA P/Q容量限制及AC/DC恒功率负载；通过参数扫描把1 MW CPL母线最低值由870 V提高到1080 V附近，恢复时间由45.9 ms降至11.0 ms。”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0B2545"/>
        </w:rPr>
        <w:t>不建议写成“严格1:1复现论文全部参数”或“完成硬件验证”。更准确的定位是：有论文依据、具备电气拓扑和能量平衡审计、包含失败记录与压力测试的工程级Simulink项目。</w:t>
      </w:r>
    </w:p>
    <w:p>
      <w:pPr>
        <w:pStyle w:val="Heading1"/>
        <w:keepNext/>
        <w:keepLines/>
        <w:pageBreakBefore/>
      </w:pPr>
      <w:r>
        <w:t>10. 文件、备份与可追溯性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路径/标识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原模型（未修改）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D:\PV_MPPT\PV_ESS_MPC_Manul_Reproduction\models\manul_model.slx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最终实验副本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D:\PV_MPPT\PV_ESS_MPC_Manul_Reproduction\experiments\stage15_bus_stability_20260814\manul_model_stage15_complete.slx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最终初始化文件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D:\PV_MPPT\PV_ESS_MPC_Manul_Reproduction\experiments\stage15_bus_stability_20260814\pvess_stage15_busfix_init.m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最终4 s结果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D:\PV_MPPT\PV_ESS_MPC_Manul_Reproduction\experiments\stage15_bus_stability_20260814\stage15_complete_results.mat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最终摘要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D:\PV_MPPT\PV_ESS_MPC_Manul_Reproduction\experiments\stage15_bus_stability_20260814\stage15_summary.json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恢复时间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D:\PV_MPPT\PV_ESS_MPC_Manul_Reproduction\experiments\stage15_bus_stability_20260814\stage15_detailed_metrics.json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PI扫描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D:\PV_MPPT\PV_ESS_MPC_Manul_Reproduction\experiments\stage15_bus_stability_20260814\stage15_grid_pi_cpl_sweep.csv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结构审计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D:\PV_MPPT\PV_ESS_MPC_Manul_Reproduction\experiments\stage15_bus_stability_20260814\verify_stage15_cpl_structure.m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错误测量侧失败工件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*_failed_wrong_side_grid_limit_20260817.*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20 Hz CPL基线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*_cpl_before_gridpi_20260817.*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10.1 SHA-256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SHA-256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原模型</w:t>
            </w:r>
          </w:p>
        </w:tc>
        <w:tc>
          <w:tcPr>
            <w:tcW w:type="dxa" w:w="70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AAB7C51A6FD264485FB2C041A21602A5721AB50476D1BA7D1D2BD8E8EAA02D28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最终副本</w:t>
            </w:r>
          </w:p>
        </w:tc>
        <w:tc>
          <w:tcPr>
            <w:tcW w:type="dxa" w:w="70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4969A09B1F3A72B315029525D5A0E4CCAC25DD177155310B94A796BBD267F8EA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工程加固前备份</w:t>
            </w:r>
          </w:p>
        </w:tc>
        <w:tc>
          <w:tcPr>
            <w:tcW w:type="dxa" w:w="70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DAE378D84BDB6FC7A9BB0435F4492D29CB0B8815AD75B3AD9986AD3379E2EA66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CPL前备份</w:t>
            </w:r>
          </w:p>
        </w:tc>
        <w:tc>
          <w:tcPr>
            <w:tcW w:type="dxa" w:w="70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42E77400A4B5B78A0927B1088B73958582B3C5C5B9835963C479C0B10D58F8E7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10.2 后续建议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建立独立6 mF严格论文参数分支并重新整定，而不是覆盖当前18 mF工程版本。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增加270-367 V电池电压、10-90% SOC、400-1000 W/m²辐照度和温度扫描。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加入预充电阻、接触器时序、IGBT/二极管峰值电流、电感饱和及热模型。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执行传感器噪声、采样延迟、参数偏差和电网阻抗Monte Carlo/鲁棒性测试。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最后开展实时仿真或HIL，验证20 kHz MPPC/MPVC的实际计算预算和保护时序。</w:t>
      </w:r>
    </w:p>
    <w:p>
      <w:pPr>
        <w:pStyle w:val="Heading1"/>
        <w:keepNext/>
        <w:keepLines/>
        <w:pageBreakBefore/>
      </w:pPr>
      <w:r>
        <w:t>附录A  验收定义与证据边界</w:t>
      </w:r>
    </w:p>
    <w:p>
      <w:pPr/>
      <w:r>
        <w:rPr>
          <w:rFonts w:ascii="Calibri" w:hAnsi="Calibri" w:eastAsia="Microsoft YaHei"/>
          <w:color w:val="0B2545"/>
        </w:rPr>
        <w:t>恢复时间定义为：事件后首次连续20 ms保持在0.98-1.02 pu内。仿真结果来自To Workspace保存的真实测量链：Vdc由Voltage Measurement获得；Ppv/Pbat由实测电压电流乘积获得；交流P/Q由三相电压电流计算和移动平均获得。</w:t>
      </w:r>
    </w:p>
    <w:p>
      <w:pPr/>
      <w:r>
        <w:rPr>
          <w:rFonts w:ascii="Calibri" w:hAnsi="Calibri" w:eastAsia="Microsoft YaHei"/>
          <w:color w:val="0B2545"/>
        </w:rPr>
        <w:t>本报告边界：截至2026-08-17的实验副本、保存结果和结构检查。自动布局只改变模块位置和线段路由，不改变控制参数或电气端口；因此布局后未重复4 s数值仿真，但已重新执行模型更新和结构接线检查。</w:t>
      </w:r>
    </w:p>
    <w:p>
      <w:pPr>
        <w:pStyle w:val="Heading1"/>
        <w:keepNext/>
        <w:keepLines/>
      </w:pPr>
      <w:r>
        <w:t>附录B  参考资料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J. Hu et al., “Predictive control strategy of a photovoltaic energy storage microgrid under variable power generation and load conditions,” Applied Energy 221 (2018) 195-203.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建设说明：D:\PV_MPPT\PV_ESS_MPC_Manul_Reproduction\beginner_from_zero\docs\PV_ESS_MPC_From_Zero_Beginner_Manual.docx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论文PDF：D:\PV_MPPT\reference\光伏储能微电网在可变电力输出和负载条件下的预测控制策略.pdf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B6573"/>
        <w:sz w:val="17"/>
      </w:rPr>
      <w:t xml:space="preserve">2026-08-17   |   Page </w:t>
    </w:r>
    <w:r>
      <w:rPr>
        <w:rFonts w:ascii="Calibri" w:hAnsi="Calibri" w:eastAsia="Microsoft YaHei"/>
        <w:color w:val="5B6573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of </w:t>
    </w:r>
    <w:r>
      <w:rPr>
        <w:rFonts w:ascii="Calibri" w:hAnsi="Calibri" w:eastAsia="Microsoft YaHei"/>
        <w:color w:val="5B6573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573"/>
        <w:sz w:val="17"/>
      </w:rPr>
      <w:t>PV-ESS MPC  |  STAGE 15 ENGINEERING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i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PV-ESS Stage 15 Final Engineering Validation Report</dc:title>
  <dc:subject>Simulink PV-ESS MPC engineering modifications, CPL stress tests, and physical compliance audit</dc:subject>
  <dc:creator>OpenAI Codex</dc:creator>
  <cp:keywords>PV ESS MPC Simulink Stage 15 constant power load validation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