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rFonts w:ascii="Aptos" w:hAnsi="Aptos" w:eastAsia="Microsoft YaHei"/>
          <w:color w:val="505050"/>
          <w:sz w:val="24"/>
        </w:rPr>
        <w:t>低成本 MEMS 惯性测量单元标定技术报告</w:t>
      </w:r>
    </w:p>
    <w:p>
      <w:pPr>
        <w:pStyle w:val="Title"/>
      </w:pPr>
      <w:r>
        <w:t>MPU6050 温度补偿与 24 位置加速度计标定总结</w:t>
      </w:r>
    </w:p>
    <w:p>
      <w:pPr>
        <w:spacing w:after="720"/>
        <w:jc w:val="center"/>
      </w:pPr>
      <w:r>
        <w:rPr>
          <w:rFonts w:ascii="Aptos" w:hAnsi="Aptos" w:eastAsia="Microsoft YaHei"/>
          <w:b/>
          <w:color w:val="000000"/>
          <w:sz w:val="28"/>
        </w:rPr>
        <w:t>基于独立电动车静止数据的纯惯导验证与公开资料对比</w:t>
      </w:r>
    </w:p>
    <w:p>
      <w:pPr>
        <w:spacing w:after="80"/>
        <w:jc w:val="center"/>
      </w:pPr>
      <w:r>
        <w:rPr>
          <w:rFonts w:ascii="Aptos" w:hAnsi="Aptos" w:eastAsia="Microsoft YaHei"/>
          <w:color w:val="464646"/>
          <w:sz w:val="21"/>
        </w:rPr>
        <w:t>标定对象  单颗 MPU6050 六轴 MEMS IMU</w:t>
      </w:r>
    </w:p>
    <w:p>
      <w:pPr>
        <w:spacing w:after="80"/>
        <w:jc w:val="center"/>
      </w:pPr>
      <w:r>
        <w:rPr>
          <w:rFonts w:ascii="Aptos" w:hAnsi="Aptos" w:eastAsia="Microsoft YaHei"/>
          <w:color w:val="464646"/>
          <w:sz w:val="21"/>
        </w:rPr>
        <w:t>验证数据  2026 年 9 月 23 日电动车会话静止区间</w:t>
      </w:r>
    </w:p>
    <w:p>
      <w:pPr>
        <w:spacing w:after="80"/>
        <w:jc w:val="center"/>
      </w:pPr>
      <w:r>
        <w:rPr>
          <w:rFonts w:ascii="Aptos" w:hAnsi="Aptos" w:eastAsia="Microsoft YaHei"/>
          <w:color w:val="464646"/>
          <w:sz w:val="21"/>
        </w:rPr>
        <w:t>验证时长  183.18 s  共 18 312 个原始 IMU 样本</w:t>
      </w:r>
    </w:p>
    <w:p>
      <w:pPr>
        <w:spacing w:after="80"/>
        <w:jc w:val="center"/>
      </w:pPr>
      <w:r>
        <w:rPr>
          <w:rFonts w:ascii="Aptos" w:hAnsi="Aptos" w:eastAsia="Microsoft YaHei"/>
          <w:color w:val="464646"/>
          <w:sz w:val="21"/>
        </w:rPr>
        <w:t>文档日期  2026 年 9 月 29 日</w:t>
      </w:r>
    </w:p>
    <w:p>
      <w:pPr>
        <w:spacing w:after="80"/>
        <w:jc w:val="center"/>
      </w:pPr>
      <w:r>
        <w:rPr>
          <w:rFonts w:ascii="Aptos" w:hAnsi="Aptos" w:eastAsia="Microsoft YaHei"/>
          <w:color w:val="464646"/>
          <w:sz w:val="21"/>
        </w:rPr>
        <w:t>文档版本  1.0</w:t>
      </w:r>
    </w:p>
    <w:p>
      <w:pPr>
        <w:spacing w:before="1080"/>
        <w:jc w:val="center"/>
      </w:pPr>
      <w:r>
        <w:rPr>
          <w:rFonts w:ascii="Aptos" w:hAnsi="Aptos" w:eastAsia="Microsoft YaHei"/>
          <w:b/>
          <w:sz w:val="22"/>
        </w:rPr>
        <w:t>结论先行</w:t>
      </w:r>
    </w:p>
    <w:p>
      <w:pPr>
        <w:ind w:left="936" w:right="936"/>
        <w:jc w:val="center"/>
      </w:pPr>
      <w:r>
        <w:rPr>
          <w:rFonts w:ascii="Aptos" w:hAnsi="Aptos" w:eastAsia="Microsoft YaHei"/>
          <w:sz w:val="22"/>
        </w:rPr>
        <w:t>完整链路将静止纯惯导的等效残余误差从约 65 mg 降至约 3 至 4 mg。在陀螺静止段均值已移除的实验条件下，这一结果说明加速度计确定性误差标定有效，且在独立数据集上保持了几 mg 级性能。</w:t>
      </w:r>
    </w:p>
    <w:p>
      <w:r>
        <w:br w:type="page"/>
      </w:r>
    </w:p>
    <w:p>
      <w:pPr>
        <w:pStyle w:val="Heading1"/>
        <w:keepNext/>
        <w:keepLines/>
        <w:widowControl/>
      </w:pPr>
      <w:r>
        <w:t>摘要</w:t>
      </w:r>
    </w:p>
    <w:p>
      <w:pPr>
        <w:pStyle w:val="BodyText"/>
        <w:keepLines/>
        <w:widowControl/>
      </w:pPr>
      <w:r>
        <w:rPr>
          <w:rFonts w:ascii="Aptos" w:hAnsi="Aptos" w:eastAsia="Microsoft YaHei"/>
        </w:rPr>
        <w:t>本报告总结一套面向单颗 MPU6050 的原始域温度补偿与 24 位置加速度计标定流程，并以另一组电动车实测会话中的 183.18 s 静止区间进行独立验证。标定模型同时估计加速度计零偏、比例因子和轴间非正交项；最终链路采用 az 三阶温度模型以及 gx 和 gy 五阶温度模型，随后应用 3×3 加速度计补偿矩阵。</w:t>
      </w:r>
    </w:p>
    <w:p>
      <w:pPr>
        <w:pStyle w:val="BodyText"/>
        <w:keepLines/>
        <w:widowControl/>
      </w:pPr>
      <w:r>
        <w:rPr>
          <w:rFonts w:ascii="Aptos" w:hAnsi="Aptos" w:eastAsia="Microsoft YaHei"/>
        </w:rPr>
        <w:t>24 位置标定集上的三轴残差 RMS 为 2.01 mg、2.03 mg 和 2.47 mg，三轴合并 RMS 为 2.18 mg，重力模长误差 RMS 为 1.01 mg。独立静止数据上，比力模长由 10.28776 m/s² 改善至 9.76689 m/s²；最终速度变化模长由 119.29 m/s 降至 5.57 m/s，最终位置位移模长由 10.75 km 降至 659.36 m，改善率分别为 95.33% 和 93.87%。</w:t>
      </w:r>
    </w:p>
    <w:p>
      <w:pPr>
        <w:pStyle w:val="BodyText"/>
        <w:keepLines/>
        <w:widowControl/>
      </w:pPr>
      <w:r>
        <w:rPr>
          <w:rFonts w:ascii="Aptos" w:hAnsi="Aptos" w:eastAsia="Microsoft YaHei"/>
        </w:rPr>
        <w:t>把独立验证的最终速度和位置误差分别等效为常值加速度误差，可得 3.10 mg 和 4.01 mg。该换算不是严格的传感器偏置辨识，因为 INS 结果还包含姿态误差、重力投影、噪声和离散化误差；它适合用于系统量级判断。公开资料显示，MPU6050 原厂加速度计零 g 初始容差为 X/Y 轴约 ±50 mg、Z 轴约 ±80 mg，2022 年 MPU6050 校准实验报告的三轴平均残余为 2.65 至 4.7 mg。本项目的独立验证结果处于这一公开实测区间内。</w:t>
      </w:r>
    </w:p>
    <w:p>
      <w:pPr>
        <w:pStyle w:val="BodyText"/>
        <w:keepLines/>
        <w:widowControl/>
      </w:pPr>
      <w:r>
        <w:rPr>
          <w:rFonts w:ascii="Aptos" w:hAnsi="Aptos" w:eastAsia="Microsoft YaHei"/>
        </w:rPr>
        <w:t>当前结果不能作为完全自主纯惯导性能声明。三路传播均使用被评估静止区间的陀螺均值进行去偏，这一非因果处理显著削弱了陀螺启动零偏的影响。因此，本报告支持的核心结论是：温补加 24 位置加速度计标定在跨数据集条件下有效；下一阶段应把重点转向启动零偏、跨启动温漂泛化和 ESKF 运行中偏置估计。</w:t>
      </w:r>
    </w:p>
    <w:p>
      <w:pPr>
        <w:pStyle w:val="Heading2"/>
        <w:keepNext/>
        <w:keepLines/>
        <w:widowControl/>
      </w:pPr>
      <w:r>
        <w:t>主要结果</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84"/>
        <w:gridCol w:w="2484"/>
        <w:gridCol w:w="2484"/>
        <w:gridCol w:w="2484"/>
      </w:tblGrid>
      <w:tr>
        <w:trPr>
          <w:tblHeader w:val="true"/>
        </w:trPr>
        <w:tc>
          <w:tcPr>
            <w:tcW w:type="dxa" w:w="1800"/>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8"/>
              </w:rPr>
              <w:t>评价层级</w:t>
            </w:r>
          </w:p>
        </w:tc>
        <w:tc>
          <w:tcPr>
            <w:tcW w:type="dxa" w:w="2088"/>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8"/>
              </w:rPr>
              <w:t>指标</w:t>
            </w:r>
          </w:p>
        </w:tc>
        <w:tc>
          <w:tcPr>
            <w:tcW w:type="dxa" w:w="1512"/>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8"/>
              </w:rPr>
              <w:t>结果</w:t>
            </w:r>
          </w:p>
        </w:tc>
        <w:tc>
          <w:tcPr>
            <w:tcW w:type="dxa" w:w="4392"/>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8"/>
              </w:rPr>
              <w:t>解释</w:t>
            </w:r>
          </w:p>
        </w:tc>
      </w:tr>
      <w:tr>
        <w:tc>
          <w:tcPr>
            <w:tcW w:type="dxa" w:w="1800"/>
            <w:tcMar>
              <w:top w:w="100" w:type="dxa"/>
              <w:start w:w="120" w:type="dxa"/>
              <w:bottom w:w="100" w:type="dxa"/>
              <w:end w:w="120" w:type="dxa"/>
            </w:tcMar>
            <w:vAlign w:val="center"/>
          </w:tcPr>
          <w:p>
            <w:pPr>
              <w:spacing w:after="0" w:line="259" w:lineRule="auto"/>
              <w:jc w:val="center"/>
            </w:pPr>
            <w:r>
              <w:rPr>
                <w:rFonts w:ascii="Aptos" w:hAnsi="Aptos" w:eastAsia="Microsoft YaHei"/>
                <w:sz w:val="18"/>
              </w:rPr>
              <w:t>24 位置标定集</w:t>
            </w:r>
          </w:p>
        </w:tc>
        <w:tc>
          <w:tcPr>
            <w:tcW w:type="dxa" w:w="2088"/>
            <w:tcMar>
              <w:top w:w="100" w:type="dxa"/>
              <w:start w:w="120" w:type="dxa"/>
              <w:bottom w:w="100" w:type="dxa"/>
              <w:end w:w="120" w:type="dxa"/>
            </w:tcMar>
            <w:vAlign w:val="center"/>
          </w:tcPr>
          <w:p>
            <w:pPr>
              <w:spacing w:after="0" w:line="259" w:lineRule="auto"/>
              <w:jc w:val="left"/>
            </w:pPr>
            <w:r>
              <w:rPr>
                <w:rFonts w:ascii="Aptos" w:hAnsi="Aptos" w:eastAsia="Microsoft YaHei"/>
                <w:sz w:val="18"/>
              </w:rPr>
              <w:t>重力模长误差 RMS</w:t>
            </w:r>
          </w:p>
        </w:tc>
        <w:tc>
          <w:tcPr>
            <w:tcW w:type="dxa" w:w="1512"/>
            <w:tcMar>
              <w:top w:w="100" w:type="dxa"/>
              <w:start w:w="120" w:type="dxa"/>
              <w:bottom w:w="100" w:type="dxa"/>
              <w:end w:w="120" w:type="dxa"/>
            </w:tcMar>
            <w:vAlign w:val="center"/>
          </w:tcPr>
          <w:p>
            <w:pPr>
              <w:spacing w:after="0" w:line="259" w:lineRule="auto"/>
              <w:jc w:val="center"/>
            </w:pPr>
            <w:r>
              <w:rPr>
                <w:rFonts w:ascii="Aptos" w:hAnsi="Aptos" w:eastAsia="Microsoft YaHei"/>
                <w:sz w:val="18"/>
              </w:rPr>
              <w:t>1.01 mg</w:t>
            </w:r>
          </w:p>
        </w:tc>
        <w:tc>
          <w:tcPr>
            <w:tcW w:type="dxa" w:w="4392"/>
            <w:tcMar>
              <w:top w:w="100" w:type="dxa"/>
              <w:start w:w="120" w:type="dxa"/>
              <w:bottom w:w="100" w:type="dxa"/>
              <w:end w:w="120" w:type="dxa"/>
            </w:tcMar>
            <w:vAlign w:val="center"/>
          </w:tcPr>
          <w:p>
            <w:pPr>
              <w:spacing w:after="0" w:line="259" w:lineRule="auto"/>
              <w:jc w:val="left"/>
            </w:pPr>
            <w:r>
              <w:rPr>
                <w:rFonts w:ascii="Aptos" w:hAnsi="Aptos" w:eastAsia="Microsoft YaHei"/>
                <w:sz w:val="18"/>
              </w:rPr>
              <w:t>拟合后的内部一致性</w:t>
            </w:r>
          </w:p>
        </w:tc>
      </w:tr>
      <w:tr>
        <w:tc>
          <w:tcPr>
            <w:tcW w:type="dxa" w:w="1800"/>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8"/>
              </w:rPr>
              <w:t>24 位置标定集</w:t>
            </w:r>
          </w:p>
        </w:tc>
        <w:tc>
          <w:tcPr>
            <w:tcW w:type="dxa" w:w="2088"/>
            <w:shd w:fill="F5F9FC"/>
            <w:tcMar>
              <w:top w:w="100" w:type="dxa"/>
              <w:start w:w="120" w:type="dxa"/>
              <w:bottom w:w="100" w:type="dxa"/>
              <w:end w:w="120" w:type="dxa"/>
            </w:tcMar>
            <w:vAlign w:val="center"/>
          </w:tcPr>
          <w:p>
            <w:pPr>
              <w:spacing w:after="0" w:line="259" w:lineRule="auto"/>
              <w:jc w:val="left"/>
            </w:pPr>
            <w:r>
              <w:rPr>
                <w:rFonts w:ascii="Aptos" w:hAnsi="Aptos" w:eastAsia="Microsoft YaHei"/>
                <w:sz w:val="18"/>
              </w:rPr>
              <w:t>三轴合并残差 RMS</w:t>
            </w:r>
          </w:p>
        </w:tc>
        <w:tc>
          <w:tcPr>
            <w:tcW w:type="dxa" w:w="1512"/>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8"/>
              </w:rPr>
              <w:t>2.18 mg</w:t>
            </w:r>
          </w:p>
        </w:tc>
        <w:tc>
          <w:tcPr>
            <w:tcW w:type="dxa" w:w="4392"/>
            <w:shd w:fill="F5F9FC"/>
            <w:tcMar>
              <w:top w:w="100" w:type="dxa"/>
              <w:start w:w="120" w:type="dxa"/>
              <w:bottom w:w="100" w:type="dxa"/>
              <w:end w:w="120" w:type="dxa"/>
            </w:tcMar>
            <w:vAlign w:val="center"/>
          </w:tcPr>
          <w:p>
            <w:pPr>
              <w:spacing w:after="0" w:line="259" w:lineRule="auto"/>
              <w:jc w:val="left"/>
            </w:pPr>
            <w:r>
              <w:rPr>
                <w:rFonts w:ascii="Aptos" w:hAnsi="Aptos" w:eastAsia="Microsoft YaHei"/>
                <w:sz w:val="18"/>
              </w:rPr>
              <w:t>含方向误差与轴间残差</w:t>
            </w:r>
          </w:p>
        </w:tc>
      </w:tr>
      <w:tr>
        <w:tc>
          <w:tcPr>
            <w:tcW w:type="dxa" w:w="1800"/>
            <w:tcMar>
              <w:top w:w="100" w:type="dxa"/>
              <w:start w:w="120" w:type="dxa"/>
              <w:bottom w:w="100" w:type="dxa"/>
              <w:end w:w="120" w:type="dxa"/>
            </w:tcMar>
            <w:vAlign w:val="center"/>
          </w:tcPr>
          <w:p>
            <w:pPr>
              <w:spacing w:after="0" w:line="259" w:lineRule="auto"/>
              <w:jc w:val="center"/>
            </w:pPr>
            <w:r>
              <w:rPr>
                <w:rFonts w:ascii="Aptos" w:hAnsi="Aptos" w:eastAsia="Microsoft YaHei"/>
                <w:sz w:val="18"/>
              </w:rPr>
              <w:t>独立静止数据</w:t>
            </w:r>
          </w:p>
        </w:tc>
        <w:tc>
          <w:tcPr>
            <w:tcW w:type="dxa" w:w="2088"/>
            <w:tcMar>
              <w:top w:w="100" w:type="dxa"/>
              <w:start w:w="120" w:type="dxa"/>
              <w:bottom w:w="100" w:type="dxa"/>
              <w:end w:w="120" w:type="dxa"/>
            </w:tcMar>
            <w:vAlign w:val="center"/>
          </w:tcPr>
          <w:p>
            <w:pPr>
              <w:spacing w:after="0" w:line="259" w:lineRule="auto"/>
              <w:jc w:val="left"/>
            </w:pPr>
            <w:r>
              <w:rPr>
                <w:rFonts w:ascii="Aptos" w:hAnsi="Aptos" w:eastAsia="Microsoft YaHei"/>
                <w:sz w:val="18"/>
              </w:rPr>
              <w:t>比力模长偏差</w:t>
            </w:r>
          </w:p>
        </w:tc>
        <w:tc>
          <w:tcPr>
            <w:tcW w:type="dxa" w:w="1512"/>
            <w:tcMar>
              <w:top w:w="100" w:type="dxa"/>
              <w:start w:w="120" w:type="dxa"/>
              <w:bottom w:w="100" w:type="dxa"/>
              <w:end w:w="120" w:type="dxa"/>
            </w:tcMar>
            <w:vAlign w:val="center"/>
          </w:tcPr>
          <w:p>
            <w:pPr>
              <w:spacing w:after="0" w:line="259" w:lineRule="auto"/>
              <w:jc w:val="center"/>
            </w:pPr>
            <w:r>
              <w:rPr>
                <w:rFonts w:ascii="Aptos" w:hAnsi="Aptos" w:eastAsia="Microsoft YaHei"/>
                <w:sz w:val="18"/>
              </w:rPr>
              <w:t>−2.73 mg</w:t>
            </w:r>
          </w:p>
        </w:tc>
        <w:tc>
          <w:tcPr>
            <w:tcW w:type="dxa" w:w="4392"/>
            <w:tcMar>
              <w:top w:w="100" w:type="dxa"/>
              <w:start w:w="120" w:type="dxa"/>
              <w:bottom w:w="100" w:type="dxa"/>
              <w:end w:w="120" w:type="dxa"/>
            </w:tcMar>
            <w:vAlign w:val="center"/>
          </w:tcPr>
          <w:p>
            <w:pPr>
              <w:spacing w:after="0" w:line="259" w:lineRule="auto"/>
              <w:jc w:val="left"/>
            </w:pPr>
            <w:r>
              <w:rPr>
                <w:rFonts w:ascii="Aptos" w:hAnsi="Aptos" w:eastAsia="Microsoft YaHei"/>
                <w:sz w:val="18"/>
              </w:rPr>
              <w:t>9.76689 m/s² 相对当地重力</w:t>
            </w:r>
          </w:p>
        </w:tc>
      </w:tr>
      <w:tr>
        <w:tc>
          <w:tcPr>
            <w:tcW w:type="dxa" w:w="1800"/>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8"/>
              </w:rPr>
              <w:t>独立静止传播</w:t>
            </w:r>
          </w:p>
        </w:tc>
        <w:tc>
          <w:tcPr>
            <w:tcW w:type="dxa" w:w="2088"/>
            <w:shd w:fill="F5F9FC"/>
            <w:tcMar>
              <w:top w:w="100" w:type="dxa"/>
              <w:start w:w="120" w:type="dxa"/>
              <w:bottom w:w="100" w:type="dxa"/>
              <w:end w:w="120" w:type="dxa"/>
            </w:tcMar>
            <w:vAlign w:val="center"/>
          </w:tcPr>
          <w:p>
            <w:pPr>
              <w:spacing w:after="0" w:line="259" w:lineRule="auto"/>
              <w:jc w:val="left"/>
            </w:pPr>
            <w:r>
              <w:rPr>
                <w:rFonts w:ascii="Aptos" w:hAnsi="Aptos" w:eastAsia="Microsoft YaHei"/>
                <w:sz w:val="18"/>
              </w:rPr>
              <w:t>速度等效误差</w:t>
            </w:r>
          </w:p>
        </w:tc>
        <w:tc>
          <w:tcPr>
            <w:tcW w:type="dxa" w:w="1512"/>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8"/>
              </w:rPr>
              <w:t>3.10 mg</w:t>
            </w:r>
          </w:p>
        </w:tc>
        <w:tc>
          <w:tcPr>
            <w:tcW w:type="dxa" w:w="4392"/>
            <w:shd w:fill="F5F9FC"/>
            <w:tcMar>
              <w:top w:w="100" w:type="dxa"/>
              <w:start w:w="120" w:type="dxa"/>
              <w:bottom w:w="100" w:type="dxa"/>
              <w:end w:w="120" w:type="dxa"/>
            </w:tcMar>
            <w:vAlign w:val="center"/>
          </w:tcPr>
          <w:p>
            <w:pPr>
              <w:spacing w:after="0" w:line="259" w:lineRule="auto"/>
              <w:jc w:val="left"/>
            </w:pPr>
            <w:r>
              <w:rPr>
                <w:rFonts w:ascii="Aptos" w:hAnsi="Aptos" w:eastAsia="Microsoft YaHei"/>
                <w:sz w:val="18"/>
              </w:rPr>
              <w:t>由 5.573 m/s 除以 183.18 s</w:t>
            </w:r>
          </w:p>
        </w:tc>
      </w:tr>
      <w:tr>
        <w:tc>
          <w:tcPr>
            <w:tcW w:type="dxa" w:w="1800"/>
            <w:tcMar>
              <w:top w:w="100" w:type="dxa"/>
              <w:start w:w="120" w:type="dxa"/>
              <w:bottom w:w="100" w:type="dxa"/>
              <w:end w:w="120" w:type="dxa"/>
            </w:tcMar>
            <w:vAlign w:val="center"/>
          </w:tcPr>
          <w:p>
            <w:pPr>
              <w:spacing w:after="0" w:line="259" w:lineRule="auto"/>
              <w:jc w:val="center"/>
            </w:pPr>
            <w:r>
              <w:rPr>
                <w:rFonts w:ascii="Aptos" w:hAnsi="Aptos" w:eastAsia="Microsoft YaHei"/>
                <w:sz w:val="18"/>
              </w:rPr>
              <w:t>独立静止传播</w:t>
            </w:r>
          </w:p>
        </w:tc>
        <w:tc>
          <w:tcPr>
            <w:tcW w:type="dxa" w:w="2088"/>
            <w:tcMar>
              <w:top w:w="100" w:type="dxa"/>
              <w:start w:w="120" w:type="dxa"/>
              <w:bottom w:w="100" w:type="dxa"/>
              <w:end w:w="120" w:type="dxa"/>
            </w:tcMar>
            <w:vAlign w:val="center"/>
          </w:tcPr>
          <w:p>
            <w:pPr>
              <w:spacing w:after="0" w:line="259" w:lineRule="auto"/>
              <w:jc w:val="left"/>
            </w:pPr>
            <w:r>
              <w:rPr>
                <w:rFonts w:ascii="Aptos" w:hAnsi="Aptos" w:eastAsia="Microsoft YaHei"/>
                <w:sz w:val="18"/>
              </w:rPr>
              <w:t>位置等效误差</w:t>
            </w:r>
          </w:p>
        </w:tc>
        <w:tc>
          <w:tcPr>
            <w:tcW w:type="dxa" w:w="1512"/>
            <w:tcMar>
              <w:top w:w="100" w:type="dxa"/>
              <w:start w:w="120" w:type="dxa"/>
              <w:bottom w:w="100" w:type="dxa"/>
              <w:end w:w="120" w:type="dxa"/>
            </w:tcMar>
            <w:vAlign w:val="center"/>
          </w:tcPr>
          <w:p>
            <w:pPr>
              <w:spacing w:after="0" w:line="259" w:lineRule="auto"/>
              <w:jc w:val="center"/>
            </w:pPr>
            <w:r>
              <w:rPr>
                <w:rFonts w:ascii="Aptos" w:hAnsi="Aptos" w:eastAsia="Microsoft YaHei"/>
                <w:sz w:val="18"/>
              </w:rPr>
              <w:t>4.01 mg</w:t>
            </w:r>
          </w:p>
        </w:tc>
        <w:tc>
          <w:tcPr>
            <w:tcW w:type="dxa" w:w="4392"/>
            <w:tcMar>
              <w:top w:w="100" w:type="dxa"/>
              <w:start w:w="120" w:type="dxa"/>
              <w:bottom w:w="100" w:type="dxa"/>
              <w:end w:w="120" w:type="dxa"/>
            </w:tcMar>
            <w:vAlign w:val="center"/>
          </w:tcPr>
          <w:p>
            <w:pPr>
              <w:spacing w:after="0" w:line="259" w:lineRule="auto"/>
              <w:jc w:val="left"/>
            </w:pPr>
            <w:r>
              <w:rPr>
                <w:rFonts w:ascii="Aptos" w:hAnsi="Aptos" w:eastAsia="Microsoft YaHei"/>
                <w:sz w:val="18"/>
              </w:rPr>
              <w:t>由 2Δp/t² 反算</w:t>
            </w:r>
          </w:p>
        </w:tc>
      </w:tr>
      <w:tr>
        <w:tc>
          <w:tcPr>
            <w:tcW w:type="dxa" w:w="1800"/>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8"/>
              </w:rPr>
              <w:t>原始独立传播</w:t>
            </w:r>
          </w:p>
        </w:tc>
        <w:tc>
          <w:tcPr>
            <w:tcW w:type="dxa" w:w="2088"/>
            <w:shd w:fill="F5F9FC"/>
            <w:tcMar>
              <w:top w:w="100" w:type="dxa"/>
              <w:start w:w="120" w:type="dxa"/>
              <w:bottom w:w="100" w:type="dxa"/>
              <w:end w:w="120" w:type="dxa"/>
            </w:tcMar>
            <w:vAlign w:val="center"/>
          </w:tcPr>
          <w:p>
            <w:pPr>
              <w:spacing w:after="0" w:line="259" w:lineRule="auto"/>
              <w:jc w:val="left"/>
            </w:pPr>
            <w:r>
              <w:rPr>
                <w:rFonts w:ascii="Aptos" w:hAnsi="Aptos" w:eastAsia="Microsoft YaHei"/>
                <w:sz w:val="18"/>
              </w:rPr>
              <w:t>位置等效误差</w:t>
            </w:r>
          </w:p>
        </w:tc>
        <w:tc>
          <w:tcPr>
            <w:tcW w:type="dxa" w:w="1512"/>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8"/>
              </w:rPr>
              <w:t>65.3 mg</w:t>
            </w:r>
          </w:p>
        </w:tc>
        <w:tc>
          <w:tcPr>
            <w:tcW w:type="dxa" w:w="4392"/>
            <w:shd w:fill="F5F9FC"/>
            <w:tcMar>
              <w:top w:w="100" w:type="dxa"/>
              <w:start w:w="120" w:type="dxa"/>
              <w:bottom w:w="100" w:type="dxa"/>
              <w:end w:w="120" w:type="dxa"/>
            </w:tcMar>
            <w:vAlign w:val="center"/>
          </w:tcPr>
          <w:p>
            <w:pPr>
              <w:spacing w:after="0" w:line="259" w:lineRule="auto"/>
              <w:jc w:val="left"/>
            </w:pPr>
            <w:r>
              <w:rPr>
                <w:rFonts w:ascii="Aptos" w:hAnsi="Aptos" w:eastAsia="Microsoft YaHei"/>
                <w:sz w:val="18"/>
              </w:rPr>
              <w:t>数量级落在原厂零 g 容差内</w:t>
            </w:r>
          </w:p>
        </w:tc>
      </w:tr>
    </w:tbl>
    <w:p>
      <w:pPr>
        <w:spacing w:after="0"/>
      </w:pPr>
    </w:p>
    <w:p>
      <w:pPr>
        <w:pStyle w:val="Heading1"/>
        <w:keepNext/>
        <w:keepLines/>
        <w:widowControl/>
      </w:pPr>
      <w:r>
        <w:t>1 实验目的与评价边界</w:t>
      </w:r>
    </w:p>
    <w:p>
      <w:pPr>
        <w:pStyle w:val="BodyText"/>
        <w:keepLines/>
        <w:widowControl/>
      </w:pPr>
      <w:r>
        <w:rPr>
          <w:rFonts w:ascii="Aptos" w:hAnsi="Aptos" w:eastAsia="Microsoft YaHei"/>
        </w:rPr>
        <w:t>本次工作的目标不是证明 MPU6050 能在数分钟 GNSS 失锁期间维持米级位置，而是判断确定性加速度计误差是否得到正确辨识，并检查标定参数在独立数据上的有效性。评价链路由原始输出、温度补偿和 24 位置标定三个层级构成，使用同一静止区间进行受控 A B C 对照。</w:t>
      </w:r>
    </w:p>
    <w:p>
      <w:pPr>
        <w:pStyle w:val="BodyText"/>
        <w:keepLines/>
        <w:widowControl/>
      </w:pPr>
      <w:r>
        <w:rPr>
          <w:rFonts w:ascii="Aptos" w:hAnsi="Aptos" w:eastAsia="Microsoft YaHei"/>
        </w:rPr>
        <w:t>实验把 GNSS、卡尔曼滤波、零速更新和反馈全部关闭，三路使用相同初始姿态、速度与位置。这样可以放大微小残余误差的积分效应，便于比较标定前后的量级差异。与此同时，三路分别减去了本静止区间的陀螺均值。该步骤使实验更聚焦于加速度计标定，但也意味着结果不包含真实冷启动陀螺零偏的完整影响。</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87"/>
        <w:gridCol w:w="1987"/>
        <w:gridCol w:w="1987"/>
        <w:gridCol w:w="1987"/>
        <w:gridCol w:w="1987"/>
      </w:tblGrid>
      <w:tr>
        <w:trPr>
          <w:tblHeader w:val="true"/>
        </w:trPr>
        <w:tc>
          <w:tcPr>
            <w:tcW w:type="dxa" w:w="1728"/>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8"/>
              </w:rPr>
              <w:t>方案</w:t>
            </w:r>
          </w:p>
        </w:tc>
        <w:tc>
          <w:tcPr>
            <w:tcW w:type="dxa" w:w="1656"/>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8"/>
              </w:rPr>
              <w:t>温度补偿</w:t>
            </w:r>
          </w:p>
        </w:tc>
        <w:tc>
          <w:tcPr>
            <w:tcW w:type="dxa" w:w="1944"/>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8"/>
              </w:rPr>
              <w:t>加速度计标定</w:t>
            </w:r>
          </w:p>
        </w:tc>
        <w:tc>
          <w:tcPr>
            <w:tcW w:type="dxa" w:w="2376"/>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8"/>
              </w:rPr>
              <w:t>陀螺处理</w:t>
            </w:r>
          </w:p>
        </w:tc>
        <w:tc>
          <w:tcPr>
            <w:tcW w:type="dxa" w:w="2088"/>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8"/>
              </w:rPr>
              <w:t>用途</w:t>
            </w:r>
          </w:p>
        </w:tc>
      </w:tr>
      <w:tr>
        <w:tc>
          <w:tcPr>
            <w:tcW w:type="dxa" w:w="1728"/>
            <w:tcMar>
              <w:top w:w="100" w:type="dxa"/>
              <w:start w:w="120" w:type="dxa"/>
              <w:bottom w:w="100" w:type="dxa"/>
              <w:end w:w="120" w:type="dxa"/>
            </w:tcMar>
            <w:vAlign w:val="center"/>
          </w:tcPr>
          <w:p>
            <w:pPr>
              <w:spacing w:after="0" w:line="259" w:lineRule="auto"/>
              <w:jc w:val="center"/>
            </w:pPr>
            <w:r>
              <w:rPr>
                <w:rFonts w:ascii="Aptos" w:hAnsi="Aptos" w:eastAsia="Microsoft YaHei"/>
                <w:sz w:val="18"/>
              </w:rPr>
              <w:t>Case 1 Raw</w:t>
            </w:r>
          </w:p>
        </w:tc>
        <w:tc>
          <w:tcPr>
            <w:tcW w:type="dxa" w:w="1656"/>
            <w:tcMar>
              <w:top w:w="100" w:type="dxa"/>
              <w:start w:w="120" w:type="dxa"/>
              <w:bottom w:w="100" w:type="dxa"/>
              <w:end w:w="120" w:type="dxa"/>
            </w:tcMar>
            <w:vAlign w:val="center"/>
          </w:tcPr>
          <w:p>
            <w:pPr>
              <w:spacing w:after="0" w:line="259" w:lineRule="auto"/>
              <w:jc w:val="center"/>
            </w:pPr>
            <w:r>
              <w:rPr>
                <w:rFonts w:ascii="Aptos" w:hAnsi="Aptos" w:eastAsia="Microsoft YaHei"/>
                <w:sz w:val="18"/>
              </w:rPr>
              <w:t>关闭</w:t>
            </w:r>
          </w:p>
        </w:tc>
        <w:tc>
          <w:tcPr>
            <w:tcW w:type="dxa" w:w="1944"/>
            <w:tcMar>
              <w:top w:w="100" w:type="dxa"/>
              <w:start w:w="120" w:type="dxa"/>
              <w:bottom w:w="100" w:type="dxa"/>
              <w:end w:w="120" w:type="dxa"/>
            </w:tcMar>
            <w:vAlign w:val="center"/>
          </w:tcPr>
          <w:p>
            <w:pPr>
              <w:spacing w:after="0" w:line="259" w:lineRule="auto"/>
              <w:jc w:val="center"/>
            </w:pPr>
            <w:r>
              <w:rPr>
                <w:rFonts w:ascii="Aptos" w:hAnsi="Aptos" w:eastAsia="Microsoft YaHei"/>
                <w:sz w:val="18"/>
              </w:rPr>
              <w:t>关闭</w:t>
            </w:r>
          </w:p>
        </w:tc>
        <w:tc>
          <w:tcPr>
            <w:tcW w:type="dxa" w:w="2376"/>
            <w:tcMar>
              <w:top w:w="100" w:type="dxa"/>
              <w:start w:w="120" w:type="dxa"/>
              <w:bottom w:w="100" w:type="dxa"/>
              <w:end w:w="120" w:type="dxa"/>
            </w:tcMar>
            <w:vAlign w:val="center"/>
          </w:tcPr>
          <w:p>
            <w:pPr>
              <w:spacing w:after="0" w:line="259" w:lineRule="auto"/>
              <w:jc w:val="center"/>
            </w:pPr>
            <w:r>
              <w:rPr>
                <w:rFonts w:ascii="Aptos" w:hAnsi="Aptos" w:eastAsia="Microsoft YaHei"/>
                <w:sz w:val="18"/>
              </w:rPr>
              <w:t>减原始静止段均值</w:t>
            </w:r>
          </w:p>
        </w:tc>
        <w:tc>
          <w:tcPr>
            <w:tcW w:type="dxa" w:w="2088"/>
            <w:tcMar>
              <w:top w:w="100" w:type="dxa"/>
              <w:start w:w="120" w:type="dxa"/>
              <w:bottom w:w="100" w:type="dxa"/>
              <w:end w:w="120" w:type="dxa"/>
            </w:tcMar>
            <w:vAlign w:val="center"/>
          </w:tcPr>
          <w:p>
            <w:pPr>
              <w:spacing w:after="0" w:line="259" w:lineRule="auto"/>
              <w:jc w:val="left"/>
            </w:pPr>
            <w:r>
              <w:rPr>
                <w:rFonts w:ascii="Aptos" w:hAnsi="Aptos" w:eastAsia="Microsoft YaHei"/>
                <w:sz w:val="18"/>
              </w:rPr>
              <w:t>原始基线</w:t>
            </w:r>
          </w:p>
        </w:tc>
      </w:tr>
      <w:tr>
        <w:tc>
          <w:tcPr>
            <w:tcW w:type="dxa" w:w="1728"/>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8"/>
              </w:rPr>
              <w:t>Case 2 TC</w:t>
            </w:r>
          </w:p>
        </w:tc>
        <w:tc>
          <w:tcPr>
            <w:tcW w:type="dxa" w:w="1656"/>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8"/>
              </w:rPr>
              <w:t>az gx gy</w:t>
            </w:r>
          </w:p>
        </w:tc>
        <w:tc>
          <w:tcPr>
            <w:tcW w:type="dxa" w:w="1944"/>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8"/>
              </w:rPr>
              <w:t>关闭</w:t>
            </w:r>
          </w:p>
        </w:tc>
        <w:tc>
          <w:tcPr>
            <w:tcW w:type="dxa" w:w="2376"/>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8"/>
              </w:rPr>
              <w:t>温补后减静止段均值</w:t>
            </w:r>
          </w:p>
        </w:tc>
        <w:tc>
          <w:tcPr>
            <w:tcW w:type="dxa" w:w="2088"/>
            <w:shd w:fill="F5F9FC"/>
            <w:tcMar>
              <w:top w:w="100" w:type="dxa"/>
              <w:start w:w="120" w:type="dxa"/>
              <w:bottom w:w="100" w:type="dxa"/>
              <w:end w:w="120" w:type="dxa"/>
            </w:tcMar>
            <w:vAlign w:val="center"/>
          </w:tcPr>
          <w:p>
            <w:pPr>
              <w:spacing w:after="0" w:line="259" w:lineRule="auto"/>
              <w:jc w:val="left"/>
            </w:pPr>
            <w:r>
              <w:rPr>
                <w:rFonts w:ascii="Aptos" w:hAnsi="Aptos" w:eastAsia="Microsoft YaHei"/>
                <w:sz w:val="18"/>
              </w:rPr>
              <w:t>分离温补贡献</w:t>
            </w:r>
          </w:p>
        </w:tc>
      </w:tr>
      <w:tr>
        <w:tc>
          <w:tcPr>
            <w:tcW w:type="dxa" w:w="1728"/>
            <w:tcMar>
              <w:top w:w="100" w:type="dxa"/>
              <w:start w:w="120" w:type="dxa"/>
              <w:bottom w:w="100" w:type="dxa"/>
              <w:end w:w="120" w:type="dxa"/>
            </w:tcMar>
            <w:vAlign w:val="center"/>
          </w:tcPr>
          <w:p>
            <w:pPr>
              <w:spacing w:after="0" w:line="259" w:lineRule="auto"/>
              <w:jc w:val="center"/>
            </w:pPr>
            <w:r>
              <w:rPr>
                <w:rFonts w:ascii="Aptos" w:hAnsi="Aptos" w:eastAsia="Microsoft YaHei"/>
                <w:sz w:val="18"/>
              </w:rPr>
              <w:t>Case 3 TC 加标定</w:t>
            </w:r>
          </w:p>
        </w:tc>
        <w:tc>
          <w:tcPr>
            <w:tcW w:type="dxa" w:w="1656"/>
            <w:tcMar>
              <w:top w:w="100" w:type="dxa"/>
              <w:start w:w="120" w:type="dxa"/>
              <w:bottom w:w="100" w:type="dxa"/>
              <w:end w:w="120" w:type="dxa"/>
            </w:tcMar>
            <w:vAlign w:val="center"/>
          </w:tcPr>
          <w:p>
            <w:pPr>
              <w:spacing w:after="0" w:line="259" w:lineRule="auto"/>
              <w:jc w:val="center"/>
            </w:pPr>
            <w:r>
              <w:rPr>
                <w:rFonts w:ascii="Aptos" w:hAnsi="Aptos" w:eastAsia="Microsoft YaHei"/>
                <w:sz w:val="18"/>
              </w:rPr>
              <w:t>az gx gy</w:t>
            </w:r>
          </w:p>
        </w:tc>
        <w:tc>
          <w:tcPr>
            <w:tcW w:type="dxa" w:w="1944"/>
            <w:tcMar>
              <w:top w:w="100" w:type="dxa"/>
              <w:start w:w="120" w:type="dxa"/>
              <w:bottom w:w="100" w:type="dxa"/>
              <w:end w:w="120" w:type="dxa"/>
            </w:tcMar>
            <w:vAlign w:val="center"/>
          </w:tcPr>
          <w:p>
            <w:pPr>
              <w:spacing w:after="0" w:line="259" w:lineRule="auto"/>
              <w:jc w:val="center"/>
            </w:pPr>
            <w:r>
              <w:rPr>
                <w:rFonts w:ascii="Aptos" w:hAnsi="Aptos" w:eastAsia="Microsoft YaHei"/>
                <w:sz w:val="18"/>
              </w:rPr>
              <w:t>Ca 与 ba</w:t>
            </w:r>
          </w:p>
        </w:tc>
        <w:tc>
          <w:tcPr>
            <w:tcW w:type="dxa" w:w="2376"/>
            <w:tcMar>
              <w:top w:w="100" w:type="dxa"/>
              <w:start w:w="120" w:type="dxa"/>
              <w:bottom w:w="100" w:type="dxa"/>
              <w:end w:w="120" w:type="dxa"/>
            </w:tcMar>
            <w:vAlign w:val="center"/>
          </w:tcPr>
          <w:p>
            <w:pPr>
              <w:spacing w:after="0" w:line="259" w:lineRule="auto"/>
              <w:jc w:val="center"/>
            </w:pPr>
            <w:r>
              <w:rPr>
                <w:rFonts w:ascii="Aptos" w:hAnsi="Aptos" w:eastAsia="Microsoft YaHei"/>
                <w:sz w:val="18"/>
              </w:rPr>
              <w:t>温补后减静止段均值</w:t>
            </w:r>
          </w:p>
        </w:tc>
        <w:tc>
          <w:tcPr>
            <w:tcW w:type="dxa" w:w="2088"/>
            <w:tcMar>
              <w:top w:w="100" w:type="dxa"/>
              <w:start w:w="120" w:type="dxa"/>
              <w:bottom w:w="100" w:type="dxa"/>
              <w:end w:w="120" w:type="dxa"/>
            </w:tcMar>
            <w:vAlign w:val="center"/>
          </w:tcPr>
          <w:p>
            <w:pPr>
              <w:spacing w:after="0" w:line="259" w:lineRule="auto"/>
              <w:jc w:val="left"/>
            </w:pPr>
            <w:r>
              <w:rPr>
                <w:rFonts w:ascii="Aptos" w:hAnsi="Aptos" w:eastAsia="Microsoft YaHei"/>
                <w:sz w:val="18"/>
              </w:rPr>
              <w:t>完整链路</w:t>
            </w:r>
          </w:p>
        </w:tc>
      </w:tr>
    </w:tbl>
    <w:p>
      <w:pPr>
        <w:spacing w:after="0"/>
      </w:pPr>
    </w:p>
    <w:p>
      <w:pPr>
        <w:pStyle w:val="Heading1"/>
        <w:keepNext/>
        <w:keepLines/>
        <w:widowControl/>
      </w:pPr>
      <w:r>
        <w:t>2 标定模型与处理顺序</w:t>
      </w:r>
    </w:p>
    <w:p>
      <w:pPr>
        <w:pStyle w:val="BodyText"/>
        <w:keepLines/>
        <w:widowControl/>
      </w:pPr>
      <w:r>
        <w:rPr>
          <w:rFonts w:ascii="Aptos" w:hAnsi="Aptos" w:eastAsia="Microsoft YaHei"/>
        </w:rPr>
        <w:t>标定使用原始传感器坐标系。温度相关漂移先从原始输出中扣除，再减去 24 位置估计的常值零偏，最后左乘补偿矩阵。处理顺序必须保持一致，因为零偏和矩阵参数是在温补后的数据域中求得。</w:t>
      </w:r>
    </w:p>
    <w:p>
      <w:pPr>
        <w:spacing w:before="100" w:after="100"/>
        <w:jc w:val="center"/>
        <w:keepLines/>
        <w:widowControl/>
      </w:pPr>
      <w:r>
        <w:drawing>
          <wp:inline xmlns:a="http://schemas.openxmlformats.org/drawingml/2006/main" xmlns:pic="http://schemas.openxmlformats.org/drawingml/2006/picture">
            <wp:extent cx="4480560" cy="389399"/>
            <wp:docPr id="1" name="Picture 1" descr="加速度计温度补偿与二十四位置标定模型公式" title="加速度计温度补偿与二十四位置标定模型公式"/>
            <wp:cNvGraphicFramePr>
              <a:graphicFrameLocks noChangeAspect="1"/>
            </wp:cNvGraphicFramePr>
            <a:graphic>
              <a:graphicData uri="http://schemas.openxmlformats.org/drawingml/2006/picture">
                <pic:pic>
                  <pic:nvPicPr>
                    <pic:cNvPr id="0" name="calibration_model.png"/>
                    <pic:cNvPicPr/>
                  </pic:nvPicPr>
                  <pic:blipFill>
                    <a:blip r:embed="rId10"/>
                    <a:stretch>
                      <a:fillRect/>
                    </a:stretch>
                  </pic:blipFill>
                  <pic:spPr>
                    <a:xfrm>
                      <a:off x="0" y="0"/>
                      <a:ext cx="4480560" cy="389399"/>
                    </a:xfrm>
                    <a:prstGeom prst="rect"/>
                  </pic:spPr>
                </pic:pic>
              </a:graphicData>
            </a:graphic>
          </wp:inline>
        </w:drawing>
      </w:r>
    </w:p>
    <w:p>
      <w:pPr>
        <w:pStyle w:val="BodyText"/>
        <w:keepLines/>
        <w:widowControl/>
      </w:pPr>
      <w:r>
        <w:rPr>
          <w:rFonts w:ascii="Aptos" w:hAnsi="Aptos" w:eastAsia="Microsoft YaHei"/>
        </w:rPr>
        <w:t>其中 d(T) 表示相对参考温度 Tref 的温度漂移模型，ba 为加速度计零偏，Ca 为比例因子与非正交误差的联合补偿矩阵。最终配置启用 az 三阶、gx 五阶和 gy 五阶模型；ax、ay 和 gz 在该链路中不施加温补。参考温度为 27.4476 ℃，拟合有效温区为 27.4418 至 32.6888 ℃。</w:t>
      </w:r>
    </w:p>
    <w:p>
      <w:pPr>
        <w:pStyle w:val="Heading2"/>
        <w:keepNext/>
        <w:keepLines/>
        <w:widowControl/>
      </w:pPr>
      <w:r>
        <w:t>2 1 温度模型</w:t>
      </w:r>
    </w:p>
    <w:p>
      <w:pPr>
        <w:pStyle w:val="BodyText"/>
        <w:keepLines/>
        <w:widowControl/>
      </w:pPr>
      <w:r>
        <w:rPr>
          <w:rFonts w:ascii="Aptos" w:hAnsi="Aptos" w:eastAsia="Microsoft YaHei"/>
        </w:rPr>
        <w:t>温度模型来自约 21 h、7 605 132 个样本的长时数据，拟合时每 50 点抽取 1 点。阶数选择综合 BIC、600 s 块均值表现以及相邻阶训练残差改善阈值。该数据与阶数选择属于同一数据集，不能视为独立泛化验证。最终启用轴在训练集上的残差 RMS 为 az 2.652 mg、gx 110.14 deg/h、gy 115.50 deg/h。</w:t>
      </w:r>
    </w:p>
    <w:p>
      <w:pPr>
        <w:pStyle w:val="BodyText"/>
        <w:keepLines/>
        <w:widowControl/>
      </w:pPr>
      <w:r>
        <w:rPr>
          <w:rFonts w:ascii="Aptos" w:hAnsi="Aptos" w:eastAsia="Microsoft YaHei"/>
        </w:rPr>
        <w:t>24 位置采集期间温度为 29.7229 至 30.4356 ℃，跨度仅 0.7127 ℃，全部处于拟合有效温区内。由于温度跨度窄，标定集本身主要验证 24 位置矩阵，不足以单独证明宽温区温补的跨启动泛化能力。</w:t>
      </w:r>
    </w:p>
    <w:p>
      <w:pPr>
        <w:pStyle w:val="Heading2"/>
        <w:keepNext/>
        <w:keepLines/>
        <w:widowControl/>
      </w:pPr>
      <w:r>
        <w:t>2 2 24 位置求解</w:t>
      </w:r>
    </w:p>
    <w:p>
      <w:pPr>
        <w:pStyle w:val="BodyText"/>
        <w:keepLines/>
        <w:widowControl/>
      </w:pPr>
      <w:r>
        <w:rPr>
          <w:rFonts w:ascii="Aptos" w:hAnsi="Aptos" w:eastAsia="Microsoft YaHei"/>
        </w:rPr>
        <w:t>每个主轴正负方向各采集四个绕轴角，共 24 个静态姿态。各文件有效时长约 85 至 105 s，采样率约 99.949 Hz。求解利用静止时比力参考向量，估计三轴零偏和 3×3 测量矩阵，并以重力向量残差检查每个姿态。温补后的姿态检查误差均通过门限，均值为 1.98°，最大值为 2.91°。</w:t>
      </w:r>
    </w:p>
    <w:p>
      <w:pPr>
        <w:pStyle w:val="BodyText"/>
        <w:keepLines/>
        <w:widowControl/>
      </w:pPr>
      <w:r>
        <w:rPr>
          <w:rFonts w:ascii="Aptos" w:hAnsi="Aptos" w:eastAsia="Microsoft YaHei"/>
        </w:rPr>
        <w:t>这种基于多位置重力参考的现场标定思路与公开的无外部设备 IMU 标定方法一致。Tedaldi 等人给出了多位置估计比例因子、轴不对准和零偏的通用框架；Khankalantary 等人进一步把温度依赖并入 MPU6050 的现场标定模型 [4][3]。</w:t>
      </w:r>
    </w:p>
    <w:p>
      <w:pPr>
        <w:pStyle w:val="Heading1"/>
        <w:keepNext/>
        <w:keepLines/>
        <w:widowControl/>
      </w:pPr>
      <w:r>
        <w:t>3 标定参数与标定集结果</w:t>
      </w:r>
    </w:p>
    <w:p>
      <w:pPr>
        <w:pStyle w:val="Heading2"/>
        <w:keepNext/>
        <w:keepLines/>
        <w:widowControl/>
      </w:pPr>
      <w:r>
        <w:t>3 1 零偏与补偿矩阵</w:t>
      </w:r>
    </w:p>
    <w:p>
      <w:pPr>
        <w:spacing w:before="100" w:after="100"/>
        <w:jc w:val="center"/>
        <w:keepLines/>
        <w:widowControl/>
      </w:pPr>
      <w:r>
        <w:drawing>
          <wp:inline xmlns:a="http://schemas.openxmlformats.org/drawingml/2006/main" xmlns:pic="http://schemas.openxmlformats.org/drawingml/2006/picture">
            <wp:extent cx="5532120" cy="631213"/>
            <wp:docPr id="2" name="Picture 2" descr="本次标定得到的加速度计零偏向量与三乘三校正矩阵" title="本次标定得到的加速度计零偏向量与三乘三校正矩阵"/>
            <wp:cNvGraphicFramePr>
              <a:graphicFrameLocks noChangeAspect="1"/>
            </wp:cNvGraphicFramePr>
            <a:graphic>
              <a:graphicData uri="http://schemas.openxmlformats.org/drawingml/2006/picture">
                <pic:pic>
                  <pic:nvPicPr>
                    <pic:cNvPr id="0" name="calibration_values.png"/>
                    <pic:cNvPicPr/>
                  </pic:nvPicPr>
                  <pic:blipFill>
                    <a:blip r:embed="rId11"/>
                    <a:stretch>
                      <a:fillRect/>
                    </a:stretch>
                  </pic:blipFill>
                  <pic:spPr>
                    <a:xfrm>
                      <a:off x="0" y="0"/>
                      <a:ext cx="5532120" cy="631213"/>
                    </a:xfrm>
                    <a:prstGeom prst="rect"/>
                  </pic:spPr>
                </pic:pic>
              </a:graphicData>
            </a:graphic>
          </wp:inline>
        </w:drawing>
      </w:r>
    </w:p>
    <w:p>
      <w:pPr>
        <w:pStyle w:val="BodyText"/>
        <w:keepLines/>
        <w:widowControl/>
      </w:pPr>
      <w:r>
        <w:rPr>
          <w:rFonts w:ascii="Aptos" w:hAnsi="Aptos" w:eastAsia="Microsoft YaHei"/>
        </w:rPr>
        <w:t>零偏换算为 22.76 mg、6.42 mg 和 37.34 mg。补偿矩阵的对角项对应约 −0.34%、+0.48% 和 +2.10% 的原始测量比例误差；非对角耦合项的绝对值约为 0.18% 至 0.37%。这些数值均处于 MPU6050 规格能够解释的范围内，未出现为了降低残差而产生的异常大参数。尤其是 Z 轴约 2.10% 的比例误差，与官方 ±3% 的灵敏度初始容差一致 [1]。</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87"/>
        <w:gridCol w:w="1987"/>
        <w:gridCol w:w="1987"/>
        <w:gridCol w:w="1987"/>
        <w:gridCol w:w="1987"/>
      </w:tblGrid>
      <w:tr>
        <w:trPr>
          <w:tblHeader w:val="true"/>
        </w:trPr>
        <w:tc>
          <w:tcPr>
            <w:tcW w:type="dxa" w:w="1944"/>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8"/>
              </w:rPr>
              <w:t>参数</w:t>
            </w:r>
          </w:p>
        </w:tc>
        <w:tc>
          <w:tcPr>
            <w:tcW w:type="dxa" w:w="1440"/>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8"/>
              </w:rPr>
              <w:t>X 轴</w:t>
            </w:r>
          </w:p>
        </w:tc>
        <w:tc>
          <w:tcPr>
            <w:tcW w:type="dxa" w:w="1440"/>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8"/>
              </w:rPr>
              <w:t>Y 轴</w:t>
            </w:r>
          </w:p>
        </w:tc>
        <w:tc>
          <w:tcPr>
            <w:tcW w:type="dxa" w:w="1440"/>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8"/>
              </w:rPr>
              <w:t>Z 轴</w:t>
            </w:r>
          </w:p>
        </w:tc>
        <w:tc>
          <w:tcPr>
            <w:tcW w:type="dxa" w:w="3528"/>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8"/>
              </w:rPr>
              <w:t>公开规格对照</w:t>
            </w:r>
          </w:p>
        </w:tc>
      </w:tr>
      <w:tr>
        <w:tc>
          <w:tcPr>
            <w:tcW w:type="dxa" w:w="1944"/>
            <w:tcMar>
              <w:top w:w="100" w:type="dxa"/>
              <w:start w:w="120" w:type="dxa"/>
              <w:bottom w:w="100" w:type="dxa"/>
              <w:end w:w="120" w:type="dxa"/>
            </w:tcMar>
            <w:vAlign w:val="center"/>
          </w:tcPr>
          <w:p>
            <w:pPr>
              <w:spacing w:after="0" w:line="259" w:lineRule="auto"/>
              <w:jc w:val="left"/>
            </w:pPr>
            <w:r>
              <w:rPr>
                <w:rFonts w:ascii="Aptos" w:hAnsi="Aptos" w:eastAsia="Microsoft YaHei"/>
                <w:sz w:val="18"/>
              </w:rPr>
              <w:t>标定零偏</w:t>
            </w:r>
          </w:p>
        </w:tc>
        <w:tc>
          <w:tcPr>
            <w:tcW w:type="dxa" w:w="1440"/>
            <w:tcMar>
              <w:top w:w="100" w:type="dxa"/>
              <w:start w:w="120" w:type="dxa"/>
              <w:bottom w:w="100" w:type="dxa"/>
              <w:end w:w="120" w:type="dxa"/>
            </w:tcMar>
            <w:vAlign w:val="center"/>
          </w:tcPr>
          <w:p>
            <w:pPr>
              <w:spacing w:after="0" w:line="259" w:lineRule="auto"/>
              <w:jc w:val="center"/>
            </w:pPr>
            <w:r>
              <w:rPr>
                <w:rFonts w:ascii="Aptos" w:hAnsi="Aptos" w:eastAsia="Microsoft YaHei"/>
                <w:sz w:val="18"/>
              </w:rPr>
              <w:t>22.76 mg</w:t>
            </w:r>
          </w:p>
        </w:tc>
        <w:tc>
          <w:tcPr>
            <w:tcW w:type="dxa" w:w="1440"/>
            <w:tcMar>
              <w:top w:w="100" w:type="dxa"/>
              <w:start w:w="120" w:type="dxa"/>
              <w:bottom w:w="100" w:type="dxa"/>
              <w:end w:w="120" w:type="dxa"/>
            </w:tcMar>
            <w:vAlign w:val="center"/>
          </w:tcPr>
          <w:p>
            <w:pPr>
              <w:spacing w:after="0" w:line="259" w:lineRule="auto"/>
              <w:jc w:val="center"/>
            </w:pPr>
            <w:r>
              <w:rPr>
                <w:rFonts w:ascii="Aptos" w:hAnsi="Aptos" w:eastAsia="Microsoft YaHei"/>
                <w:sz w:val="18"/>
              </w:rPr>
              <w:t>6.42 mg</w:t>
            </w:r>
          </w:p>
        </w:tc>
        <w:tc>
          <w:tcPr>
            <w:tcW w:type="dxa" w:w="1440"/>
            <w:tcMar>
              <w:top w:w="100" w:type="dxa"/>
              <w:start w:w="120" w:type="dxa"/>
              <w:bottom w:w="100" w:type="dxa"/>
              <w:end w:w="120" w:type="dxa"/>
            </w:tcMar>
            <w:vAlign w:val="center"/>
          </w:tcPr>
          <w:p>
            <w:pPr>
              <w:spacing w:after="0" w:line="259" w:lineRule="auto"/>
              <w:jc w:val="center"/>
            </w:pPr>
            <w:r>
              <w:rPr>
                <w:rFonts w:ascii="Aptos" w:hAnsi="Aptos" w:eastAsia="Microsoft YaHei"/>
                <w:sz w:val="18"/>
              </w:rPr>
              <w:t>37.34 mg</w:t>
            </w:r>
          </w:p>
        </w:tc>
        <w:tc>
          <w:tcPr>
            <w:tcW w:type="dxa" w:w="3528"/>
            <w:tcMar>
              <w:top w:w="100" w:type="dxa"/>
              <w:start w:w="120" w:type="dxa"/>
              <w:bottom w:w="100" w:type="dxa"/>
              <w:end w:w="120" w:type="dxa"/>
            </w:tcMar>
            <w:vAlign w:val="center"/>
          </w:tcPr>
          <w:p>
            <w:pPr>
              <w:spacing w:after="0" w:line="259" w:lineRule="auto"/>
              <w:jc w:val="left"/>
            </w:pPr>
            <w:r>
              <w:rPr>
                <w:rFonts w:ascii="Aptos" w:hAnsi="Aptos" w:eastAsia="Microsoft YaHei"/>
                <w:sz w:val="18"/>
              </w:rPr>
              <w:t>X Y ±50 mg  Z ±80 mg</w:t>
            </w:r>
          </w:p>
        </w:tc>
      </w:tr>
      <w:tr>
        <w:tc>
          <w:tcPr>
            <w:tcW w:type="dxa" w:w="1944"/>
            <w:shd w:fill="F5F9FC"/>
            <w:tcMar>
              <w:top w:w="100" w:type="dxa"/>
              <w:start w:w="120" w:type="dxa"/>
              <w:bottom w:w="100" w:type="dxa"/>
              <w:end w:w="120" w:type="dxa"/>
            </w:tcMar>
            <w:vAlign w:val="center"/>
          </w:tcPr>
          <w:p>
            <w:pPr>
              <w:spacing w:after="0" w:line="259" w:lineRule="auto"/>
              <w:jc w:val="left"/>
            </w:pPr>
            <w:r>
              <w:rPr>
                <w:rFonts w:ascii="Aptos" w:hAnsi="Aptos" w:eastAsia="Microsoft YaHei"/>
                <w:sz w:val="18"/>
              </w:rPr>
              <w:t>原始比例误差</w:t>
            </w:r>
          </w:p>
        </w:tc>
        <w:tc>
          <w:tcPr>
            <w:tcW w:type="dxa" w:w="1440"/>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8"/>
              </w:rPr>
              <w:t>−0.34%</w:t>
            </w:r>
          </w:p>
        </w:tc>
        <w:tc>
          <w:tcPr>
            <w:tcW w:type="dxa" w:w="1440"/>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8"/>
              </w:rPr>
              <w:t>+0.48%</w:t>
            </w:r>
          </w:p>
        </w:tc>
        <w:tc>
          <w:tcPr>
            <w:tcW w:type="dxa" w:w="1440"/>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8"/>
              </w:rPr>
              <w:t>+2.10%</w:t>
            </w:r>
          </w:p>
        </w:tc>
        <w:tc>
          <w:tcPr>
            <w:tcW w:type="dxa" w:w="3528"/>
            <w:shd w:fill="F5F9FC"/>
            <w:tcMar>
              <w:top w:w="100" w:type="dxa"/>
              <w:start w:w="120" w:type="dxa"/>
              <w:bottom w:w="100" w:type="dxa"/>
              <w:end w:w="120" w:type="dxa"/>
            </w:tcMar>
            <w:vAlign w:val="center"/>
          </w:tcPr>
          <w:p>
            <w:pPr>
              <w:spacing w:after="0" w:line="259" w:lineRule="auto"/>
              <w:jc w:val="left"/>
            </w:pPr>
            <w:r>
              <w:rPr>
                <w:rFonts w:ascii="Aptos" w:hAnsi="Aptos" w:eastAsia="Microsoft YaHei"/>
                <w:sz w:val="18"/>
              </w:rPr>
              <w:t>初始容差 ±3%</w:t>
            </w:r>
          </w:p>
        </w:tc>
      </w:tr>
      <w:tr>
        <w:tc>
          <w:tcPr>
            <w:tcW w:type="dxa" w:w="1944"/>
            <w:tcMar>
              <w:top w:w="100" w:type="dxa"/>
              <w:start w:w="120" w:type="dxa"/>
              <w:bottom w:w="100" w:type="dxa"/>
              <w:end w:w="120" w:type="dxa"/>
            </w:tcMar>
            <w:vAlign w:val="center"/>
          </w:tcPr>
          <w:p>
            <w:pPr>
              <w:spacing w:after="0" w:line="259" w:lineRule="auto"/>
              <w:jc w:val="left"/>
            </w:pPr>
            <w:r>
              <w:rPr>
                <w:rFonts w:ascii="Aptos" w:hAnsi="Aptos" w:eastAsia="Microsoft YaHei"/>
                <w:sz w:val="18"/>
              </w:rPr>
              <w:t>最大轴间耦合</w:t>
            </w:r>
          </w:p>
        </w:tc>
        <w:tc>
          <w:tcPr>
            <w:tcW w:type="dxa" w:w="1440"/>
            <w:tcMar>
              <w:top w:w="100" w:type="dxa"/>
              <w:start w:w="120" w:type="dxa"/>
              <w:bottom w:w="100" w:type="dxa"/>
              <w:end w:w="120" w:type="dxa"/>
            </w:tcMar>
            <w:vAlign w:val="center"/>
          </w:tcPr>
          <w:p>
            <w:pPr>
              <w:spacing w:after="0" w:line="259" w:lineRule="auto"/>
              <w:jc w:val="center"/>
            </w:pPr>
            <w:r>
              <w:rPr>
                <w:rFonts w:ascii="Aptos" w:hAnsi="Aptos" w:eastAsia="Microsoft YaHei"/>
                <w:sz w:val="18"/>
              </w:rPr>
              <w:t>0.24%</w:t>
            </w:r>
          </w:p>
        </w:tc>
        <w:tc>
          <w:tcPr>
            <w:tcW w:type="dxa" w:w="1440"/>
            <w:tcMar>
              <w:top w:w="100" w:type="dxa"/>
              <w:start w:w="120" w:type="dxa"/>
              <w:bottom w:w="100" w:type="dxa"/>
              <w:end w:w="120" w:type="dxa"/>
            </w:tcMar>
            <w:vAlign w:val="center"/>
          </w:tcPr>
          <w:p>
            <w:pPr>
              <w:spacing w:after="0" w:line="259" w:lineRule="auto"/>
              <w:jc w:val="center"/>
            </w:pPr>
            <w:r>
              <w:rPr>
                <w:rFonts w:ascii="Aptos" w:hAnsi="Aptos" w:eastAsia="Microsoft YaHei"/>
                <w:sz w:val="18"/>
              </w:rPr>
              <w:t>0.37%</w:t>
            </w:r>
          </w:p>
        </w:tc>
        <w:tc>
          <w:tcPr>
            <w:tcW w:type="dxa" w:w="1440"/>
            <w:tcMar>
              <w:top w:w="100" w:type="dxa"/>
              <w:start w:w="120" w:type="dxa"/>
              <w:bottom w:w="100" w:type="dxa"/>
              <w:end w:w="120" w:type="dxa"/>
            </w:tcMar>
            <w:vAlign w:val="center"/>
          </w:tcPr>
          <w:p>
            <w:pPr>
              <w:spacing w:after="0" w:line="259" w:lineRule="auto"/>
              <w:jc w:val="center"/>
            </w:pPr>
            <w:r>
              <w:rPr>
                <w:rFonts w:ascii="Aptos" w:hAnsi="Aptos" w:eastAsia="Microsoft YaHei"/>
                <w:sz w:val="18"/>
              </w:rPr>
              <w:t>0.30%</w:t>
            </w:r>
          </w:p>
        </w:tc>
        <w:tc>
          <w:tcPr>
            <w:tcW w:type="dxa" w:w="3528"/>
            <w:tcMar>
              <w:top w:w="100" w:type="dxa"/>
              <w:start w:w="120" w:type="dxa"/>
              <w:bottom w:w="100" w:type="dxa"/>
              <w:end w:w="120" w:type="dxa"/>
            </w:tcMar>
            <w:vAlign w:val="center"/>
          </w:tcPr>
          <w:p>
            <w:pPr>
              <w:spacing w:after="0" w:line="259" w:lineRule="auto"/>
              <w:jc w:val="left"/>
            </w:pPr>
            <w:r>
              <w:rPr>
                <w:rFonts w:ascii="Aptos" w:hAnsi="Aptos" w:eastAsia="Microsoft YaHei"/>
                <w:sz w:val="18"/>
              </w:rPr>
              <w:t>交叉轴灵敏度 ±2%</w:t>
            </w:r>
          </w:p>
        </w:tc>
      </w:tr>
    </w:tbl>
    <w:p>
      <w:pPr>
        <w:spacing w:after="0"/>
      </w:pPr>
    </w:p>
    <w:p>
      <w:pPr>
        <w:pStyle w:val="Heading2"/>
        <w:keepNext/>
        <w:keepLines/>
        <w:widowControl/>
      </w:pPr>
      <w:r>
        <w:t>3 2 标定集残差</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87"/>
        <w:gridCol w:w="1987"/>
        <w:gridCol w:w="1987"/>
        <w:gridCol w:w="1987"/>
        <w:gridCol w:w="1987"/>
      </w:tblGrid>
      <w:tr>
        <w:trPr>
          <w:tblHeader w:val="true"/>
        </w:trPr>
        <w:tc>
          <w:tcPr>
            <w:tcW w:type="dxa" w:w="2520"/>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8"/>
              </w:rPr>
              <w:t>指标</w:t>
            </w:r>
          </w:p>
        </w:tc>
        <w:tc>
          <w:tcPr>
            <w:tcW w:type="dxa" w:w="1440"/>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8"/>
              </w:rPr>
              <w:t>X 轴</w:t>
            </w:r>
          </w:p>
        </w:tc>
        <w:tc>
          <w:tcPr>
            <w:tcW w:type="dxa" w:w="1440"/>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8"/>
              </w:rPr>
              <w:t>Y 轴</w:t>
            </w:r>
          </w:p>
        </w:tc>
        <w:tc>
          <w:tcPr>
            <w:tcW w:type="dxa" w:w="1440"/>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8"/>
              </w:rPr>
              <w:t>Z 轴</w:t>
            </w:r>
          </w:p>
        </w:tc>
        <w:tc>
          <w:tcPr>
            <w:tcW w:type="dxa" w:w="2952"/>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8"/>
              </w:rPr>
              <w:t>合并或极值</w:t>
            </w:r>
          </w:p>
        </w:tc>
      </w:tr>
      <w:tr>
        <w:tc>
          <w:tcPr>
            <w:tcW w:type="dxa" w:w="2520"/>
            <w:tcMar>
              <w:top w:w="100" w:type="dxa"/>
              <w:start w:w="120" w:type="dxa"/>
              <w:bottom w:w="100" w:type="dxa"/>
              <w:end w:w="120" w:type="dxa"/>
            </w:tcMar>
            <w:vAlign w:val="center"/>
          </w:tcPr>
          <w:p>
            <w:pPr>
              <w:spacing w:after="0" w:line="259" w:lineRule="auto"/>
              <w:jc w:val="left"/>
            </w:pPr>
            <w:r>
              <w:rPr>
                <w:rFonts w:ascii="Aptos" w:hAnsi="Aptos" w:eastAsia="Microsoft YaHei"/>
                <w:sz w:val="18"/>
              </w:rPr>
              <w:t>向量残差 RMS</w:t>
            </w:r>
          </w:p>
        </w:tc>
        <w:tc>
          <w:tcPr>
            <w:tcW w:type="dxa" w:w="1440"/>
            <w:tcMar>
              <w:top w:w="100" w:type="dxa"/>
              <w:start w:w="120" w:type="dxa"/>
              <w:bottom w:w="100" w:type="dxa"/>
              <w:end w:w="120" w:type="dxa"/>
            </w:tcMar>
            <w:vAlign w:val="center"/>
          </w:tcPr>
          <w:p>
            <w:pPr>
              <w:spacing w:after="0" w:line="259" w:lineRule="auto"/>
              <w:jc w:val="center"/>
            </w:pPr>
            <w:r>
              <w:rPr>
                <w:rFonts w:ascii="Aptos" w:hAnsi="Aptos" w:eastAsia="Microsoft YaHei"/>
                <w:sz w:val="18"/>
              </w:rPr>
              <w:t>2.01 mg</w:t>
            </w:r>
          </w:p>
        </w:tc>
        <w:tc>
          <w:tcPr>
            <w:tcW w:type="dxa" w:w="1440"/>
            <w:tcMar>
              <w:top w:w="100" w:type="dxa"/>
              <w:start w:w="120" w:type="dxa"/>
              <w:bottom w:w="100" w:type="dxa"/>
              <w:end w:w="120" w:type="dxa"/>
            </w:tcMar>
            <w:vAlign w:val="center"/>
          </w:tcPr>
          <w:p>
            <w:pPr>
              <w:spacing w:after="0" w:line="259" w:lineRule="auto"/>
              <w:jc w:val="center"/>
            </w:pPr>
            <w:r>
              <w:rPr>
                <w:rFonts w:ascii="Aptos" w:hAnsi="Aptos" w:eastAsia="Microsoft YaHei"/>
                <w:sz w:val="18"/>
              </w:rPr>
              <w:t>2.03 mg</w:t>
            </w:r>
          </w:p>
        </w:tc>
        <w:tc>
          <w:tcPr>
            <w:tcW w:type="dxa" w:w="1440"/>
            <w:tcMar>
              <w:top w:w="100" w:type="dxa"/>
              <w:start w:w="120" w:type="dxa"/>
              <w:bottom w:w="100" w:type="dxa"/>
              <w:end w:w="120" w:type="dxa"/>
            </w:tcMar>
            <w:vAlign w:val="center"/>
          </w:tcPr>
          <w:p>
            <w:pPr>
              <w:spacing w:after="0" w:line="259" w:lineRule="auto"/>
              <w:jc w:val="center"/>
            </w:pPr>
            <w:r>
              <w:rPr>
                <w:rFonts w:ascii="Aptos" w:hAnsi="Aptos" w:eastAsia="Microsoft YaHei"/>
                <w:sz w:val="18"/>
              </w:rPr>
              <w:t>2.47 mg</w:t>
            </w:r>
          </w:p>
        </w:tc>
        <w:tc>
          <w:tcPr>
            <w:tcW w:type="dxa" w:w="2952"/>
            <w:tcMar>
              <w:top w:w="100" w:type="dxa"/>
              <w:start w:w="120" w:type="dxa"/>
              <w:bottom w:w="100" w:type="dxa"/>
              <w:end w:w="120" w:type="dxa"/>
            </w:tcMar>
            <w:vAlign w:val="center"/>
          </w:tcPr>
          <w:p>
            <w:pPr>
              <w:spacing w:after="0" w:line="259" w:lineRule="auto"/>
              <w:jc w:val="center"/>
            </w:pPr>
            <w:r>
              <w:rPr>
                <w:rFonts w:ascii="Aptos" w:hAnsi="Aptos" w:eastAsia="Microsoft YaHei"/>
                <w:sz w:val="18"/>
              </w:rPr>
              <w:t>三轴合并 2.18 mg</w:t>
            </w:r>
          </w:p>
        </w:tc>
      </w:tr>
      <w:tr>
        <w:tc>
          <w:tcPr>
            <w:tcW w:type="dxa" w:w="2520"/>
            <w:shd w:fill="F5F9FC"/>
            <w:tcMar>
              <w:top w:w="100" w:type="dxa"/>
              <w:start w:w="120" w:type="dxa"/>
              <w:bottom w:w="100" w:type="dxa"/>
              <w:end w:w="120" w:type="dxa"/>
            </w:tcMar>
            <w:vAlign w:val="center"/>
          </w:tcPr>
          <w:p>
            <w:pPr>
              <w:spacing w:after="0" w:line="259" w:lineRule="auto"/>
              <w:jc w:val="left"/>
            </w:pPr>
            <w:r>
              <w:rPr>
                <w:rFonts w:ascii="Aptos" w:hAnsi="Aptos" w:eastAsia="Microsoft YaHei"/>
                <w:sz w:val="18"/>
              </w:rPr>
              <w:t>重力模长误差</w:t>
            </w:r>
          </w:p>
        </w:tc>
        <w:tc>
          <w:tcPr>
            <w:tcW w:type="dxa" w:w="1440"/>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8"/>
              </w:rPr>
              <w:t>—</w:t>
            </w:r>
          </w:p>
        </w:tc>
        <w:tc>
          <w:tcPr>
            <w:tcW w:type="dxa" w:w="1440"/>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8"/>
              </w:rPr>
              <w:t>—</w:t>
            </w:r>
          </w:p>
        </w:tc>
        <w:tc>
          <w:tcPr>
            <w:tcW w:type="dxa" w:w="1440"/>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8"/>
              </w:rPr>
              <w:t>—</w:t>
            </w:r>
          </w:p>
        </w:tc>
        <w:tc>
          <w:tcPr>
            <w:tcW w:type="dxa" w:w="2952"/>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8"/>
              </w:rPr>
              <w:t>RMS 1.01 mg</w:t>
            </w:r>
          </w:p>
        </w:tc>
      </w:tr>
      <w:tr>
        <w:tc>
          <w:tcPr>
            <w:tcW w:type="dxa" w:w="2520"/>
            <w:tcMar>
              <w:top w:w="100" w:type="dxa"/>
              <w:start w:w="120" w:type="dxa"/>
              <w:bottom w:w="100" w:type="dxa"/>
              <w:end w:w="120" w:type="dxa"/>
            </w:tcMar>
            <w:vAlign w:val="center"/>
          </w:tcPr>
          <w:p>
            <w:pPr>
              <w:spacing w:after="0" w:line="259" w:lineRule="auto"/>
              <w:jc w:val="left"/>
            </w:pPr>
            <w:r>
              <w:rPr>
                <w:rFonts w:ascii="Aptos" w:hAnsi="Aptos" w:eastAsia="Microsoft YaHei"/>
                <w:sz w:val="18"/>
              </w:rPr>
              <w:t>重力模长最大误差</w:t>
            </w:r>
          </w:p>
        </w:tc>
        <w:tc>
          <w:tcPr>
            <w:tcW w:type="dxa" w:w="1440"/>
            <w:tcMar>
              <w:top w:w="100" w:type="dxa"/>
              <w:start w:w="120" w:type="dxa"/>
              <w:bottom w:w="100" w:type="dxa"/>
              <w:end w:w="120" w:type="dxa"/>
            </w:tcMar>
            <w:vAlign w:val="center"/>
          </w:tcPr>
          <w:p>
            <w:pPr>
              <w:spacing w:after="0" w:line="259" w:lineRule="auto"/>
              <w:jc w:val="center"/>
            </w:pPr>
            <w:r>
              <w:rPr>
                <w:rFonts w:ascii="Aptos" w:hAnsi="Aptos" w:eastAsia="Microsoft YaHei"/>
                <w:sz w:val="18"/>
              </w:rPr>
              <w:t>—</w:t>
            </w:r>
          </w:p>
        </w:tc>
        <w:tc>
          <w:tcPr>
            <w:tcW w:type="dxa" w:w="1440"/>
            <w:tcMar>
              <w:top w:w="100" w:type="dxa"/>
              <w:start w:w="120" w:type="dxa"/>
              <w:bottom w:w="100" w:type="dxa"/>
              <w:end w:w="120" w:type="dxa"/>
            </w:tcMar>
            <w:vAlign w:val="center"/>
          </w:tcPr>
          <w:p>
            <w:pPr>
              <w:spacing w:after="0" w:line="259" w:lineRule="auto"/>
              <w:jc w:val="center"/>
            </w:pPr>
            <w:r>
              <w:rPr>
                <w:rFonts w:ascii="Aptos" w:hAnsi="Aptos" w:eastAsia="Microsoft YaHei"/>
                <w:sz w:val="18"/>
              </w:rPr>
              <w:t>—</w:t>
            </w:r>
          </w:p>
        </w:tc>
        <w:tc>
          <w:tcPr>
            <w:tcW w:type="dxa" w:w="1440"/>
            <w:tcMar>
              <w:top w:w="100" w:type="dxa"/>
              <w:start w:w="120" w:type="dxa"/>
              <w:bottom w:w="100" w:type="dxa"/>
              <w:end w:w="120" w:type="dxa"/>
            </w:tcMar>
            <w:vAlign w:val="center"/>
          </w:tcPr>
          <w:p>
            <w:pPr>
              <w:spacing w:after="0" w:line="259" w:lineRule="auto"/>
              <w:jc w:val="center"/>
            </w:pPr>
            <w:r>
              <w:rPr>
                <w:rFonts w:ascii="Aptos" w:hAnsi="Aptos" w:eastAsia="Microsoft YaHei"/>
                <w:sz w:val="18"/>
              </w:rPr>
              <w:t>—</w:t>
            </w:r>
          </w:p>
        </w:tc>
        <w:tc>
          <w:tcPr>
            <w:tcW w:type="dxa" w:w="2952"/>
            <w:tcMar>
              <w:top w:w="100" w:type="dxa"/>
              <w:start w:w="120" w:type="dxa"/>
              <w:bottom w:w="100" w:type="dxa"/>
              <w:end w:w="120" w:type="dxa"/>
            </w:tcMar>
            <w:vAlign w:val="center"/>
          </w:tcPr>
          <w:p>
            <w:pPr>
              <w:spacing w:after="0" w:line="259" w:lineRule="auto"/>
              <w:jc w:val="center"/>
            </w:pPr>
            <w:r>
              <w:rPr>
                <w:rFonts w:ascii="Aptos" w:hAnsi="Aptos" w:eastAsia="Microsoft YaHei"/>
                <w:sz w:val="18"/>
              </w:rPr>
              <w:t>2.11 mg</w:t>
            </w:r>
          </w:p>
        </w:tc>
      </w:tr>
    </w:tbl>
    <w:p>
      <w:pPr>
        <w:spacing w:after="0"/>
      </w:pPr>
    </w:p>
    <w:p>
      <w:pPr>
        <w:pStyle w:val="BodyText"/>
        <w:keepLines/>
        <w:widowControl/>
      </w:pPr>
      <w:r>
        <w:rPr>
          <w:rFonts w:ascii="Aptos" w:hAnsi="Aptos" w:eastAsia="Microsoft YaHei"/>
        </w:rPr>
        <w:t>标定前，各主轴方向的重力模长误差呈稳定的轴相关分组，最大约 57 mg。完成矩阵标定后，24 个姿态均收敛到约 ±2.1 mg 以内。温补前后标定集的重力模长 RMS 分别约为 0.95 mg 和 1.01 mg，差异很小，说明在 0.71 ℃ 的窄温度跨度内，24 位置确定性标定是主要贡献，温补效果不能靠这组数据单独判断。</w:t>
      </w:r>
    </w:p>
    <w:p>
      <w:pPr>
        <w:spacing w:before="80" w:after="0"/>
        <w:jc w:val="center"/>
        <w:keepNext/>
        <w:keepLines/>
        <w:widowControl/>
      </w:pPr>
      <w:r>
        <w:drawing>
          <wp:inline xmlns:a="http://schemas.openxmlformats.org/drawingml/2006/main" xmlns:pic="http://schemas.openxmlformats.org/drawingml/2006/picture">
            <wp:extent cx="5897880" cy="3067803"/>
            <wp:docPr id="3" name="Picture 3" descr="图 1  24 位置重力模长误差在标定前后的变化" title="图 1  24 位置重力模长误差在标定前后的变化"/>
            <wp:cNvGraphicFramePr>
              <a:graphicFrameLocks noChangeAspect="1"/>
            </wp:cNvGraphicFramePr>
            <a:graphic>
              <a:graphicData uri="http://schemas.openxmlformats.org/drawingml/2006/picture">
                <pic:pic>
                  <pic:nvPicPr>
                    <pic:cNvPr id="0" name="fig_tempcomp_azgxgy_gravity_error.png"/>
                    <pic:cNvPicPr/>
                  </pic:nvPicPr>
                  <pic:blipFill>
                    <a:blip r:embed="rId12"/>
                    <a:stretch>
                      <a:fillRect/>
                    </a:stretch>
                  </pic:blipFill>
                  <pic:spPr>
                    <a:xfrm>
                      <a:off x="0" y="0"/>
                      <a:ext cx="5897880" cy="3067803"/>
                    </a:xfrm>
                    <a:prstGeom prst="rect"/>
                  </pic:spPr>
                </pic:pic>
              </a:graphicData>
            </a:graphic>
          </wp:inline>
        </w:drawing>
      </w:r>
    </w:p>
    <w:p>
      <w:pPr>
        <w:pStyle w:val="Caption"/>
        <w:spacing w:before="60" w:after="160"/>
        <w:jc w:val="center"/>
        <w:keepLines/>
        <w:widowControl/>
      </w:pPr>
      <w:r>
        <w:rPr>
          <w:rFonts w:ascii="Aptos" w:hAnsi="Aptos" w:eastAsia="Microsoft YaHei"/>
        </w:rPr>
        <w:t>图 1  24 位置重力模长误差在标定前后的变化</w:t>
      </w:r>
    </w:p>
    <w:p>
      <w:pPr>
        <w:pStyle w:val="Heading1"/>
        <w:keepNext/>
        <w:keepLines/>
        <w:widowControl/>
      </w:pPr>
      <w:r>
        <w:t>4 独立静止数据验证</w:t>
      </w:r>
    </w:p>
    <w:p>
      <w:pPr>
        <w:pStyle w:val="BodyText"/>
        <w:keepLines/>
        <w:widowControl/>
      </w:pPr>
      <w:r>
        <w:rPr>
          <w:rFonts w:ascii="Aptos" w:hAnsi="Aptos" w:eastAsia="Microsoft YaHei"/>
        </w:rPr>
        <w:t>独立验证使用 2026 年 9 月 23 日电动车实测会话的静止区间。该区间长 183.1768 s，包含 18 312 个约 100 Hz 的原始 IMU 样本。验证数据没有参与 24 位置参数求解，因此能够检验标定参数是否跨数据集保持有效。</w:t>
      </w:r>
    </w:p>
    <w:p>
      <w:r>
        <w:br w:type="page"/>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87"/>
        <w:gridCol w:w="1987"/>
        <w:gridCol w:w="1987"/>
        <w:gridCol w:w="1987"/>
        <w:gridCol w:w="1987"/>
      </w:tblGrid>
      <w:tr>
        <w:trPr>
          <w:tblHeader w:val="true"/>
        </w:trPr>
        <w:tc>
          <w:tcPr>
            <w:tcW w:type="dxa" w:w="2376"/>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7"/>
              </w:rPr>
              <w:t>指标</w:t>
            </w:r>
          </w:p>
        </w:tc>
        <w:tc>
          <w:tcPr>
            <w:tcW w:type="dxa" w:w="1800"/>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7"/>
              </w:rPr>
              <w:t>Raw</w:t>
            </w:r>
          </w:p>
        </w:tc>
        <w:tc>
          <w:tcPr>
            <w:tcW w:type="dxa" w:w="1800"/>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7"/>
              </w:rPr>
              <w:t>仅温补</w:t>
            </w:r>
          </w:p>
        </w:tc>
        <w:tc>
          <w:tcPr>
            <w:tcW w:type="dxa" w:w="1944"/>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7"/>
              </w:rPr>
              <w:t>温补加标定</w:t>
            </w:r>
          </w:p>
        </w:tc>
        <w:tc>
          <w:tcPr>
            <w:tcW w:type="dxa" w:w="1800"/>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7"/>
              </w:rPr>
              <w:t>相对 Raw 改善</w:t>
            </w:r>
          </w:p>
        </w:tc>
      </w:tr>
      <w:tr>
        <w:tc>
          <w:tcPr>
            <w:tcW w:type="dxa" w:w="2376"/>
            <w:tcMar>
              <w:top w:w="100" w:type="dxa"/>
              <w:start w:w="120" w:type="dxa"/>
              <w:bottom w:w="100" w:type="dxa"/>
              <w:end w:w="120" w:type="dxa"/>
            </w:tcMar>
            <w:vAlign w:val="center"/>
          </w:tcPr>
          <w:p>
            <w:pPr>
              <w:spacing w:after="0" w:line="259" w:lineRule="auto"/>
              <w:jc w:val="left"/>
            </w:pPr>
            <w:r>
              <w:rPr>
                <w:rFonts w:ascii="Aptos" w:hAnsi="Aptos" w:eastAsia="Microsoft YaHei"/>
                <w:sz w:val="17"/>
              </w:rPr>
              <w:t>最终速度变化模长</w:t>
            </w:r>
          </w:p>
        </w:tc>
        <w:tc>
          <w:tcPr>
            <w:tcW w:type="dxa" w:w="1800"/>
            <w:tcMar>
              <w:top w:w="100" w:type="dxa"/>
              <w:start w:w="120" w:type="dxa"/>
              <w:bottom w:w="100" w:type="dxa"/>
              <w:end w:w="120" w:type="dxa"/>
            </w:tcMar>
            <w:vAlign w:val="center"/>
          </w:tcPr>
          <w:p>
            <w:pPr>
              <w:spacing w:after="0" w:line="259" w:lineRule="auto"/>
              <w:jc w:val="center"/>
            </w:pPr>
            <w:r>
              <w:rPr>
                <w:rFonts w:ascii="Aptos" w:hAnsi="Aptos" w:eastAsia="Microsoft YaHei"/>
                <w:sz w:val="17"/>
              </w:rPr>
              <w:t>119.290 m/s</w:t>
            </w:r>
          </w:p>
        </w:tc>
        <w:tc>
          <w:tcPr>
            <w:tcW w:type="dxa" w:w="1800"/>
            <w:tcMar>
              <w:top w:w="100" w:type="dxa"/>
              <w:start w:w="120" w:type="dxa"/>
              <w:bottom w:w="100" w:type="dxa"/>
              <w:end w:w="120" w:type="dxa"/>
            </w:tcMar>
            <w:vAlign w:val="center"/>
          </w:tcPr>
          <w:p>
            <w:pPr>
              <w:spacing w:after="0" w:line="259" w:lineRule="auto"/>
              <w:jc w:val="center"/>
            </w:pPr>
            <w:r>
              <w:rPr>
                <w:rFonts w:ascii="Aptos" w:hAnsi="Aptos" w:eastAsia="Microsoft YaHei"/>
                <w:sz w:val="17"/>
              </w:rPr>
              <w:t>114.331 m/s</w:t>
            </w:r>
          </w:p>
        </w:tc>
        <w:tc>
          <w:tcPr>
            <w:tcW w:type="dxa" w:w="1944"/>
            <w:tcMar>
              <w:top w:w="100" w:type="dxa"/>
              <w:start w:w="120" w:type="dxa"/>
              <w:bottom w:w="100" w:type="dxa"/>
              <w:end w:w="120" w:type="dxa"/>
            </w:tcMar>
            <w:vAlign w:val="center"/>
          </w:tcPr>
          <w:p>
            <w:pPr>
              <w:spacing w:after="0" w:line="259" w:lineRule="auto"/>
              <w:jc w:val="center"/>
            </w:pPr>
            <w:r>
              <w:rPr>
                <w:rFonts w:ascii="Aptos" w:hAnsi="Aptos" w:eastAsia="Microsoft YaHei"/>
                <w:sz w:val="17"/>
              </w:rPr>
              <w:t>5.573 m/s</w:t>
            </w:r>
          </w:p>
        </w:tc>
        <w:tc>
          <w:tcPr>
            <w:tcW w:type="dxa" w:w="1800"/>
            <w:tcMar>
              <w:top w:w="100" w:type="dxa"/>
              <w:start w:w="120" w:type="dxa"/>
              <w:bottom w:w="100" w:type="dxa"/>
              <w:end w:w="120" w:type="dxa"/>
            </w:tcMar>
            <w:vAlign w:val="center"/>
          </w:tcPr>
          <w:p>
            <w:pPr>
              <w:spacing w:after="0" w:line="259" w:lineRule="auto"/>
              <w:jc w:val="center"/>
            </w:pPr>
            <w:r>
              <w:rPr>
                <w:rFonts w:ascii="Aptos" w:hAnsi="Aptos" w:eastAsia="Microsoft YaHei"/>
                <w:sz w:val="17"/>
              </w:rPr>
              <w:t>95.33%</w:t>
            </w:r>
          </w:p>
        </w:tc>
      </w:tr>
      <w:tr>
        <w:tc>
          <w:tcPr>
            <w:tcW w:type="dxa" w:w="2376"/>
            <w:shd w:fill="F5F9FC"/>
            <w:tcMar>
              <w:top w:w="100" w:type="dxa"/>
              <w:start w:w="120" w:type="dxa"/>
              <w:bottom w:w="100" w:type="dxa"/>
              <w:end w:w="120" w:type="dxa"/>
            </w:tcMar>
            <w:vAlign w:val="center"/>
          </w:tcPr>
          <w:p>
            <w:pPr>
              <w:spacing w:after="0" w:line="259" w:lineRule="auto"/>
              <w:jc w:val="left"/>
            </w:pPr>
            <w:r>
              <w:rPr>
                <w:rFonts w:ascii="Aptos" w:hAnsi="Aptos" w:eastAsia="Microsoft YaHei"/>
                <w:sz w:val="17"/>
              </w:rPr>
              <w:t>速度变化三维 RMS</w:t>
            </w:r>
          </w:p>
        </w:tc>
        <w:tc>
          <w:tcPr>
            <w:tcW w:type="dxa" w:w="1800"/>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7"/>
              </w:rPr>
              <w:t>68.490 m/s</w:t>
            </w:r>
          </w:p>
        </w:tc>
        <w:tc>
          <w:tcPr>
            <w:tcW w:type="dxa" w:w="1800"/>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7"/>
              </w:rPr>
              <w:t>65.537 m/s</w:t>
            </w:r>
          </w:p>
        </w:tc>
        <w:tc>
          <w:tcPr>
            <w:tcW w:type="dxa" w:w="1944"/>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7"/>
              </w:rPr>
              <w:t>4.233 m/s</w:t>
            </w:r>
          </w:p>
        </w:tc>
        <w:tc>
          <w:tcPr>
            <w:tcW w:type="dxa" w:w="1800"/>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7"/>
              </w:rPr>
              <w:t>93.82%</w:t>
            </w:r>
          </w:p>
        </w:tc>
      </w:tr>
      <w:tr>
        <w:tc>
          <w:tcPr>
            <w:tcW w:type="dxa" w:w="2376"/>
            <w:tcMar>
              <w:top w:w="100" w:type="dxa"/>
              <w:start w:w="120" w:type="dxa"/>
              <w:bottom w:w="100" w:type="dxa"/>
              <w:end w:w="120" w:type="dxa"/>
            </w:tcMar>
            <w:vAlign w:val="center"/>
          </w:tcPr>
          <w:p>
            <w:pPr>
              <w:spacing w:after="0" w:line="259" w:lineRule="auto"/>
              <w:jc w:val="left"/>
            </w:pPr>
            <w:r>
              <w:rPr>
                <w:rFonts w:ascii="Aptos" w:hAnsi="Aptos" w:eastAsia="Microsoft YaHei"/>
                <w:sz w:val="17"/>
              </w:rPr>
              <w:t>最终位置位移模长</w:t>
            </w:r>
          </w:p>
        </w:tc>
        <w:tc>
          <w:tcPr>
            <w:tcW w:type="dxa" w:w="1800"/>
            <w:tcMar>
              <w:top w:w="100" w:type="dxa"/>
              <w:start w:w="120" w:type="dxa"/>
              <w:bottom w:w="100" w:type="dxa"/>
              <w:end w:w="120" w:type="dxa"/>
            </w:tcMar>
            <w:vAlign w:val="center"/>
          </w:tcPr>
          <w:p>
            <w:pPr>
              <w:spacing w:after="0" w:line="259" w:lineRule="auto"/>
              <w:jc w:val="center"/>
            </w:pPr>
            <w:r>
              <w:rPr>
                <w:rFonts w:ascii="Aptos" w:hAnsi="Aptos" w:eastAsia="Microsoft YaHei"/>
                <w:sz w:val="17"/>
              </w:rPr>
              <w:t>10 753.563 m</w:t>
            </w:r>
          </w:p>
        </w:tc>
        <w:tc>
          <w:tcPr>
            <w:tcW w:type="dxa" w:w="1800"/>
            <w:tcMar>
              <w:top w:w="100" w:type="dxa"/>
              <w:start w:w="120" w:type="dxa"/>
              <w:bottom w:w="100" w:type="dxa"/>
              <w:end w:w="120" w:type="dxa"/>
            </w:tcMar>
            <w:vAlign w:val="center"/>
          </w:tcPr>
          <w:p>
            <w:pPr>
              <w:spacing w:after="0" w:line="259" w:lineRule="auto"/>
              <w:jc w:val="center"/>
            </w:pPr>
            <w:r>
              <w:rPr>
                <w:rFonts w:ascii="Aptos" w:hAnsi="Aptos" w:eastAsia="Microsoft YaHei"/>
                <w:sz w:val="17"/>
              </w:rPr>
              <w:t>10 364.997 m</w:t>
            </w:r>
          </w:p>
        </w:tc>
        <w:tc>
          <w:tcPr>
            <w:tcW w:type="dxa" w:w="1944"/>
            <w:tcMar>
              <w:top w:w="100" w:type="dxa"/>
              <w:start w:w="120" w:type="dxa"/>
              <w:bottom w:w="100" w:type="dxa"/>
              <w:end w:w="120" w:type="dxa"/>
            </w:tcMar>
            <w:vAlign w:val="center"/>
          </w:tcPr>
          <w:p>
            <w:pPr>
              <w:spacing w:after="0" w:line="259" w:lineRule="auto"/>
              <w:jc w:val="center"/>
            </w:pPr>
            <w:r>
              <w:rPr>
                <w:rFonts w:ascii="Aptos" w:hAnsi="Aptos" w:eastAsia="Microsoft YaHei"/>
                <w:sz w:val="17"/>
              </w:rPr>
              <w:t>659.360 m</w:t>
            </w:r>
          </w:p>
        </w:tc>
        <w:tc>
          <w:tcPr>
            <w:tcW w:type="dxa" w:w="1800"/>
            <w:tcMar>
              <w:top w:w="100" w:type="dxa"/>
              <w:start w:w="120" w:type="dxa"/>
              <w:bottom w:w="100" w:type="dxa"/>
              <w:end w:w="120" w:type="dxa"/>
            </w:tcMar>
            <w:vAlign w:val="center"/>
          </w:tcPr>
          <w:p>
            <w:pPr>
              <w:spacing w:after="0" w:line="259" w:lineRule="auto"/>
              <w:jc w:val="center"/>
            </w:pPr>
            <w:r>
              <w:rPr>
                <w:rFonts w:ascii="Aptos" w:hAnsi="Aptos" w:eastAsia="Microsoft YaHei"/>
                <w:sz w:val="17"/>
              </w:rPr>
              <w:t>93.87%</w:t>
            </w:r>
          </w:p>
        </w:tc>
      </w:tr>
      <w:tr>
        <w:tc>
          <w:tcPr>
            <w:tcW w:type="dxa" w:w="2376"/>
            <w:shd w:fill="F5F9FC"/>
            <w:tcMar>
              <w:top w:w="100" w:type="dxa"/>
              <w:start w:w="120" w:type="dxa"/>
              <w:bottom w:w="100" w:type="dxa"/>
              <w:end w:w="120" w:type="dxa"/>
            </w:tcMar>
            <w:vAlign w:val="center"/>
          </w:tcPr>
          <w:p>
            <w:pPr>
              <w:spacing w:after="0" w:line="259" w:lineRule="auto"/>
              <w:jc w:val="left"/>
            </w:pPr>
            <w:r>
              <w:rPr>
                <w:rFonts w:ascii="Aptos" w:hAnsi="Aptos" w:eastAsia="Microsoft YaHei"/>
                <w:sz w:val="17"/>
              </w:rPr>
              <w:t>位置位移三维 RMS</w:t>
            </w:r>
          </w:p>
        </w:tc>
        <w:tc>
          <w:tcPr>
            <w:tcW w:type="dxa" w:w="1800"/>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7"/>
              </w:rPr>
              <w:t>4 763.978 m</w:t>
            </w:r>
          </w:p>
        </w:tc>
        <w:tc>
          <w:tcPr>
            <w:tcW w:type="dxa" w:w="1800"/>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7"/>
              </w:rPr>
              <w:t>4 622.281 m</w:t>
            </w:r>
          </w:p>
        </w:tc>
        <w:tc>
          <w:tcPr>
            <w:tcW w:type="dxa" w:w="1944"/>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7"/>
              </w:rPr>
              <w:t>312.530 m</w:t>
            </w:r>
          </w:p>
        </w:tc>
        <w:tc>
          <w:tcPr>
            <w:tcW w:type="dxa" w:w="1800"/>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7"/>
              </w:rPr>
              <w:t>93.44%</w:t>
            </w:r>
          </w:p>
        </w:tc>
      </w:tr>
      <w:tr>
        <w:tc>
          <w:tcPr>
            <w:tcW w:type="dxa" w:w="2376"/>
            <w:tcMar>
              <w:top w:w="100" w:type="dxa"/>
              <w:start w:w="120" w:type="dxa"/>
              <w:bottom w:w="100" w:type="dxa"/>
              <w:end w:w="120" w:type="dxa"/>
            </w:tcMar>
            <w:vAlign w:val="center"/>
          </w:tcPr>
          <w:p>
            <w:pPr>
              <w:spacing w:after="0" w:line="259" w:lineRule="auto"/>
              <w:jc w:val="left"/>
            </w:pPr>
            <w:r>
              <w:rPr>
                <w:rFonts w:ascii="Aptos" w:hAnsi="Aptos" w:eastAsia="Microsoft YaHei"/>
                <w:sz w:val="17"/>
              </w:rPr>
              <w:t>静态比力模长</w:t>
            </w:r>
          </w:p>
        </w:tc>
        <w:tc>
          <w:tcPr>
            <w:tcW w:type="dxa" w:w="1800"/>
            <w:tcMar>
              <w:top w:w="100" w:type="dxa"/>
              <w:start w:w="120" w:type="dxa"/>
              <w:bottom w:w="100" w:type="dxa"/>
              <w:end w:w="120" w:type="dxa"/>
            </w:tcMar>
            <w:vAlign w:val="center"/>
          </w:tcPr>
          <w:p>
            <w:pPr>
              <w:spacing w:after="0" w:line="259" w:lineRule="auto"/>
              <w:jc w:val="center"/>
            </w:pPr>
            <w:r>
              <w:rPr>
                <w:rFonts w:ascii="Aptos" w:hAnsi="Aptos" w:eastAsia="Microsoft YaHei"/>
                <w:sz w:val="17"/>
              </w:rPr>
              <w:t>10.28776 m/s²</w:t>
            </w:r>
          </w:p>
        </w:tc>
        <w:tc>
          <w:tcPr>
            <w:tcW w:type="dxa" w:w="1800"/>
            <w:tcMar>
              <w:top w:w="100" w:type="dxa"/>
              <w:start w:w="120" w:type="dxa"/>
              <w:bottom w:w="100" w:type="dxa"/>
              <w:end w:w="120" w:type="dxa"/>
            </w:tcMar>
            <w:vAlign w:val="center"/>
          </w:tcPr>
          <w:p>
            <w:pPr>
              <w:spacing w:after="0" w:line="259" w:lineRule="auto"/>
              <w:jc w:val="center"/>
            </w:pPr>
            <w:r>
              <w:rPr>
                <w:rFonts w:ascii="Aptos" w:hAnsi="Aptos" w:eastAsia="Microsoft YaHei"/>
                <w:sz w:val="17"/>
              </w:rPr>
              <w:t>10.32786 m/s²</w:t>
            </w:r>
          </w:p>
        </w:tc>
        <w:tc>
          <w:tcPr>
            <w:tcW w:type="dxa" w:w="1944"/>
            <w:tcMar>
              <w:top w:w="100" w:type="dxa"/>
              <w:start w:w="120" w:type="dxa"/>
              <w:bottom w:w="100" w:type="dxa"/>
              <w:end w:w="120" w:type="dxa"/>
            </w:tcMar>
            <w:vAlign w:val="center"/>
          </w:tcPr>
          <w:p>
            <w:pPr>
              <w:spacing w:after="0" w:line="259" w:lineRule="auto"/>
              <w:jc w:val="center"/>
            </w:pPr>
            <w:r>
              <w:rPr>
                <w:rFonts w:ascii="Aptos" w:hAnsi="Aptos" w:eastAsia="Microsoft YaHei"/>
                <w:sz w:val="17"/>
              </w:rPr>
              <w:t>9.76689 m/s²</w:t>
            </w:r>
          </w:p>
        </w:tc>
        <w:tc>
          <w:tcPr>
            <w:tcW w:type="dxa" w:w="1800"/>
            <w:tcMar>
              <w:top w:w="100" w:type="dxa"/>
              <w:start w:w="120" w:type="dxa"/>
              <w:bottom w:w="100" w:type="dxa"/>
              <w:end w:w="120" w:type="dxa"/>
            </w:tcMar>
            <w:vAlign w:val="center"/>
          </w:tcPr>
          <w:p>
            <w:pPr>
              <w:spacing w:after="0" w:line="259" w:lineRule="auto"/>
              <w:jc w:val="center"/>
            </w:pPr>
            <w:r>
              <w:rPr>
                <w:rFonts w:ascii="Aptos" w:hAnsi="Aptos" w:eastAsia="Microsoft YaHei"/>
                <w:sz w:val="17"/>
              </w:rPr>
              <w:t>接近当地重力</w:t>
            </w:r>
          </w:p>
        </w:tc>
      </w:tr>
    </w:tbl>
    <w:p>
      <w:pPr>
        <w:spacing w:after="0"/>
      </w:pPr>
    </w:p>
    <w:p>
      <w:pPr>
        <w:pStyle w:val="BodyText"/>
        <w:keepLines/>
        <w:widowControl/>
      </w:pPr>
      <w:r>
        <w:rPr>
          <w:rFonts w:ascii="Aptos" w:hAnsi="Aptos" w:eastAsia="Microsoft YaHei"/>
        </w:rPr>
        <w:t>仅温补使速度或位置指标改善约 3% 至 4%；完整链路的 93% 至 95% 改善主要来自 24 位置加速度计标定。这个结果与标定集中的轴相关重力模长误差相符：未经矩阵修正时，固定比例因子与非正交误差会在重力输入下形成稳定的低频加速度残差，并被纯 INS 连续积分。</w:t>
      </w:r>
    </w:p>
    <w:p>
      <w:pPr>
        <w:spacing w:before="80" w:after="0"/>
        <w:jc w:val="center"/>
        <w:keepNext/>
        <w:keepLines/>
        <w:widowControl/>
      </w:pPr>
      <w:r>
        <w:drawing>
          <wp:inline xmlns:a="http://schemas.openxmlformats.org/drawingml/2006/main" xmlns:pic="http://schemas.openxmlformats.org/drawingml/2006/picture">
            <wp:extent cx="5806440" cy="4396305"/>
            <wp:docPr id="4" name="Picture 4" descr="图 2  独立静止数据的速度误差模长" title="图 2  独立静止数据的速度误差模长"/>
            <wp:cNvGraphicFramePr>
              <a:graphicFrameLocks noChangeAspect="1"/>
            </wp:cNvGraphicFramePr>
            <a:graphic>
              <a:graphicData uri="http://schemas.openxmlformats.org/drawingml/2006/picture">
                <pic:pic>
                  <pic:nvPicPr>
                    <pic:cNvPr id="0" name="fig_static_02_velocity_error_norm.png"/>
                    <pic:cNvPicPr/>
                  </pic:nvPicPr>
                  <pic:blipFill>
                    <a:blip r:embed="rId13"/>
                    <a:stretch>
                      <a:fillRect/>
                    </a:stretch>
                  </pic:blipFill>
                  <pic:spPr>
                    <a:xfrm>
                      <a:off x="0" y="0"/>
                      <a:ext cx="5806440" cy="4396305"/>
                    </a:xfrm>
                    <a:prstGeom prst="rect"/>
                  </pic:spPr>
                </pic:pic>
              </a:graphicData>
            </a:graphic>
          </wp:inline>
        </w:drawing>
      </w:r>
    </w:p>
    <w:p>
      <w:pPr>
        <w:pStyle w:val="Caption"/>
        <w:spacing w:before="60" w:after="160"/>
        <w:jc w:val="center"/>
        <w:keepLines/>
        <w:widowControl/>
      </w:pPr>
      <w:r>
        <w:rPr>
          <w:rFonts w:ascii="Aptos" w:hAnsi="Aptos" w:eastAsia="Microsoft YaHei"/>
        </w:rPr>
        <w:t>图 2  独立静止数据的速度误差模长</w:t>
      </w:r>
    </w:p>
    <w:p>
      <w:pPr>
        <w:spacing w:before="80" w:after="0"/>
        <w:jc w:val="center"/>
        <w:keepNext/>
        <w:keepLines/>
        <w:widowControl/>
      </w:pPr>
      <w:r>
        <w:drawing>
          <wp:inline xmlns:a="http://schemas.openxmlformats.org/drawingml/2006/main" xmlns:pic="http://schemas.openxmlformats.org/drawingml/2006/picture">
            <wp:extent cx="4297680" cy="3253958"/>
            <wp:docPr id="5" name="Picture 5" descr="图 3  独立静止数据的位置误差模长" title="图 3  独立静止数据的位置误差模长"/>
            <wp:cNvGraphicFramePr>
              <a:graphicFrameLocks noChangeAspect="1"/>
            </wp:cNvGraphicFramePr>
            <a:graphic>
              <a:graphicData uri="http://schemas.openxmlformats.org/drawingml/2006/picture">
                <pic:pic>
                  <pic:nvPicPr>
                    <pic:cNvPr id="0" name="fig_static_04_position_error_norm.png"/>
                    <pic:cNvPicPr/>
                  </pic:nvPicPr>
                  <pic:blipFill>
                    <a:blip r:embed="rId14"/>
                    <a:stretch>
                      <a:fillRect/>
                    </a:stretch>
                  </pic:blipFill>
                  <pic:spPr>
                    <a:xfrm>
                      <a:off x="0" y="0"/>
                      <a:ext cx="4297680" cy="3253958"/>
                    </a:xfrm>
                    <a:prstGeom prst="rect"/>
                  </pic:spPr>
                </pic:pic>
              </a:graphicData>
            </a:graphic>
          </wp:inline>
        </w:drawing>
      </w:r>
    </w:p>
    <w:p>
      <w:pPr>
        <w:pStyle w:val="Caption"/>
        <w:spacing w:before="60" w:after="160"/>
        <w:jc w:val="center"/>
        <w:keepLines/>
        <w:widowControl/>
      </w:pPr>
      <w:r>
        <w:rPr>
          <w:rFonts w:ascii="Aptos" w:hAnsi="Aptos" w:eastAsia="Microsoft YaHei"/>
        </w:rPr>
        <w:t>图 3  独立静止数据的位置误差模长</w:t>
      </w:r>
    </w:p>
    <w:p>
      <w:pPr>
        <w:spacing w:before="80" w:after="0"/>
        <w:jc w:val="center"/>
        <w:keepNext/>
        <w:keepLines/>
        <w:widowControl/>
      </w:pPr>
      <w:r>
        <w:drawing>
          <wp:inline xmlns:a="http://schemas.openxmlformats.org/drawingml/2006/main" xmlns:pic="http://schemas.openxmlformats.org/drawingml/2006/picture">
            <wp:extent cx="4297680" cy="3253958"/>
            <wp:docPr id="6" name="Picture 6" descr="图 4  独立静止数据的姿态误差模长" title="图 4  独立静止数据的姿态误差模长"/>
            <wp:cNvGraphicFramePr>
              <a:graphicFrameLocks noChangeAspect="1"/>
            </wp:cNvGraphicFramePr>
            <a:graphic>
              <a:graphicData uri="http://schemas.openxmlformats.org/drawingml/2006/picture">
                <pic:pic>
                  <pic:nvPicPr>
                    <pic:cNvPr id="0" name="fig_static_06_attitude_error_norm.png"/>
                    <pic:cNvPicPr/>
                  </pic:nvPicPr>
                  <pic:blipFill>
                    <a:blip r:embed="rId15"/>
                    <a:stretch>
                      <a:fillRect/>
                    </a:stretch>
                  </pic:blipFill>
                  <pic:spPr>
                    <a:xfrm>
                      <a:off x="0" y="0"/>
                      <a:ext cx="4297680" cy="3253958"/>
                    </a:xfrm>
                    <a:prstGeom prst="rect"/>
                  </pic:spPr>
                </pic:pic>
              </a:graphicData>
            </a:graphic>
          </wp:inline>
        </w:drawing>
      </w:r>
    </w:p>
    <w:p>
      <w:pPr>
        <w:pStyle w:val="Caption"/>
        <w:spacing w:before="60" w:after="160"/>
        <w:jc w:val="center"/>
        <w:keepLines/>
        <w:widowControl/>
      </w:pPr>
      <w:r>
        <w:rPr>
          <w:rFonts w:ascii="Aptos" w:hAnsi="Aptos" w:eastAsia="Microsoft YaHei"/>
        </w:rPr>
        <w:t>图 4  独立静止数据的姿态误差模长</w:t>
      </w:r>
    </w:p>
    <w:p>
      <w:pPr>
        <w:pStyle w:val="BodyText"/>
        <w:keepLines/>
        <w:widowControl/>
      </w:pPr>
      <w:r>
        <w:rPr>
          <w:rFonts w:ascii="Aptos" w:hAnsi="Aptos" w:eastAsia="Microsoft YaHei"/>
        </w:rPr>
        <w:t>姿态曲线显示，仅温补与温补加标定的姿态误差几乎重合，因为两者使用相同的温补后陀螺数据及静止段均值去除。两者在速度和位置上的显著差异因此主要来自加速度计矩阵标定，而不是姿态传播路径发生改变。</w:t>
      </w:r>
    </w:p>
    <w:p>
      <w:pPr>
        <w:pStyle w:val="Heading1"/>
        <w:keepNext/>
        <w:keepLines/>
        <w:widowControl/>
      </w:pPr>
      <w:r>
        <w:t>5 几 mg 残余如何形成数百米漂移</w:t>
      </w:r>
    </w:p>
    <w:p>
      <w:pPr>
        <w:pStyle w:val="BodyText"/>
        <w:keepLines/>
        <w:widowControl/>
      </w:pPr>
      <w:r>
        <w:rPr>
          <w:rFonts w:ascii="Aptos" w:hAnsi="Aptos" w:eastAsia="Microsoft YaHei"/>
        </w:rPr>
        <w:t>常值加速度误差会线性积累为速度误差，并以时间平方积累为位置误差。</w:t>
      </w:r>
    </w:p>
    <w:p>
      <w:pPr>
        <w:spacing w:before="100" w:after="100"/>
        <w:jc w:val="center"/>
        <w:keepLines/>
        <w:widowControl/>
      </w:pPr>
      <w:r>
        <w:drawing>
          <wp:inline xmlns:a="http://schemas.openxmlformats.org/drawingml/2006/main" xmlns:pic="http://schemas.openxmlformats.org/drawingml/2006/picture">
            <wp:extent cx="3108960" cy="493437"/>
            <wp:docPr id="7" name="Picture 7" descr="恒定加速度误差引起速度线性增长和位置二次增长的公式" title="恒定加速度误差引起速度线性增长和位置二次增长的公式"/>
            <wp:cNvGraphicFramePr>
              <a:graphicFrameLocks noChangeAspect="1"/>
            </wp:cNvGraphicFramePr>
            <a:graphic>
              <a:graphicData uri="http://schemas.openxmlformats.org/drawingml/2006/picture">
                <pic:pic>
                  <pic:nvPicPr>
                    <pic:cNvPr id="0" name="bias_growth.png"/>
                    <pic:cNvPicPr/>
                  </pic:nvPicPr>
                  <pic:blipFill>
                    <a:blip r:embed="rId16"/>
                    <a:stretch>
                      <a:fillRect/>
                    </a:stretch>
                  </pic:blipFill>
                  <pic:spPr>
                    <a:xfrm>
                      <a:off x="0" y="0"/>
                      <a:ext cx="3108960" cy="493437"/>
                    </a:xfrm>
                    <a:prstGeom prst="rect"/>
                  </pic:spPr>
                </pic:pic>
              </a:graphicData>
            </a:graphic>
          </wp:inline>
        </w:drawing>
      </w:r>
    </w:p>
    <w:p>
      <w:pPr>
        <w:pStyle w:val="BodyText"/>
        <w:keepLines/>
        <w:widowControl/>
      </w:pPr>
      <w:r>
        <w:rPr>
          <w:rFonts w:ascii="Aptos" w:hAnsi="Aptos" w:eastAsia="Microsoft YaHei"/>
        </w:rPr>
        <w:t>将完整链路的 5.573 m/s 最终速度变化和 659.360 m 最终位置位移分别反算，可得到以下系统等效值。</w:t>
      </w:r>
    </w:p>
    <w:p>
      <w:pPr>
        <w:spacing w:before="100" w:after="100"/>
        <w:jc w:val="center"/>
        <w:keepLines/>
        <w:widowControl/>
      </w:pPr>
      <w:r>
        <w:drawing>
          <wp:inline xmlns:a="http://schemas.openxmlformats.org/drawingml/2006/main" xmlns:pic="http://schemas.openxmlformats.org/drawingml/2006/picture">
            <wp:extent cx="5806440" cy="364892"/>
            <wp:docPr id="8" name="Picture 8" descr="由最终位置和速度反算系统等效加速度误差的公式" title="由最终位置和速度反算系统等效加速度误差的公式"/>
            <wp:cNvGraphicFramePr>
              <a:graphicFrameLocks noChangeAspect="1"/>
            </wp:cNvGraphicFramePr>
            <a:graphic>
              <a:graphicData uri="http://schemas.openxmlformats.org/drawingml/2006/picture">
                <pic:pic>
                  <pic:nvPicPr>
                    <pic:cNvPr id="0" name="equivalent_error.png"/>
                    <pic:cNvPicPr/>
                  </pic:nvPicPr>
                  <pic:blipFill>
                    <a:blip r:embed="rId17"/>
                    <a:stretch>
                      <a:fillRect/>
                    </a:stretch>
                  </pic:blipFill>
                  <pic:spPr>
                    <a:xfrm>
                      <a:off x="0" y="0"/>
                      <a:ext cx="5806440" cy="364892"/>
                    </a:xfrm>
                    <a:prstGeom prst="rect"/>
                  </pic:spPr>
                </pic:pic>
              </a:graphicData>
            </a:graphic>
          </wp:inline>
        </w:drawing>
      </w:r>
    </w:p>
    <w:p>
      <w:pPr>
        <w:pStyle w:val="BodyText"/>
        <w:keepLines/>
        <w:widowControl/>
      </w:pPr>
      <w:r>
        <w:rPr>
          <w:rFonts w:ascii="Aptos" w:hAnsi="Aptos" w:eastAsia="Microsoft YaHei"/>
        </w:rPr>
        <w:t>独立数据上的比力模长为 9.76689 m/s²，相对实验使用的当地重力约低 0.02673 m/s²，即 −2.73 mg。比力模长偏差、速度等效误差和位置等效误差分别约为 2.7 mg、3.1 mg 和 4.0 mg，三种估计从不同观测量出发，却落在同一数量级。这种一致性说明系统残余确实已经进入几 mg 水平。</w:t>
      </w:r>
    </w:p>
    <w:p>
      <w:pPr>
        <w:pStyle w:val="BodyText"/>
        <w:keepLines/>
        <w:widowControl/>
      </w:pPr>
      <w:r>
        <w:rPr>
          <w:rFonts w:ascii="Aptos" w:hAnsi="Aptos" w:eastAsia="Microsoft YaHei"/>
        </w:rPr>
        <w:t>这些等效值不能严格等同于某一轴的常值偏置。位置结果同时受初始姿态、残余陀螺误差、重力模型、噪声、轴间耦合和积分算法影响。它们的用途是建立误差量级，而不是替代传感器参数辨识。</w:t>
      </w:r>
    </w:p>
    <w:p>
      <w:pPr>
        <w:pStyle w:val="BodyText"/>
        <w:keepLines/>
        <w:widowControl/>
      </w:pPr>
      <w:r>
        <w:rPr>
          <w:rFonts w:ascii="Aptos" w:hAnsi="Aptos" w:eastAsia="Microsoft YaHei"/>
        </w:rPr>
        <w:t>原始传播的 10 753.56 m 位移对应约 65.3 mg 的等效常值加速度误差。</w:t>
      </w:r>
    </w:p>
    <w:p>
      <w:pPr>
        <w:spacing w:before="100" w:after="100"/>
        <w:jc w:val="center"/>
        <w:keepLines/>
        <w:widowControl/>
      </w:pPr>
      <w:r>
        <w:drawing>
          <wp:inline xmlns:a="http://schemas.openxmlformats.org/drawingml/2006/main" xmlns:pic="http://schemas.openxmlformats.org/drawingml/2006/picture">
            <wp:extent cx="4160520" cy="451365"/>
            <wp:docPr id="9" name="Picture 9" descr="由原始传播最终位移反算六十五点三毫克等效误差的公式" title="由原始传播最终位移反算六十五点三毫克等效误差的公式"/>
            <wp:cNvGraphicFramePr>
              <a:graphicFrameLocks noChangeAspect="1"/>
            </wp:cNvGraphicFramePr>
            <a:graphic>
              <a:graphicData uri="http://schemas.openxmlformats.org/drawingml/2006/picture">
                <pic:pic>
                  <pic:nvPicPr>
                    <pic:cNvPr id="0" name="raw_equivalent.png"/>
                    <pic:cNvPicPr/>
                  </pic:nvPicPr>
                  <pic:blipFill>
                    <a:blip r:embed="rId18"/>
                    <a:stretch>
                      <a:fillRect/>
                    </a:stretch>
                  </pic:blipFill>
                  <pic:spPr>
                    <a:xfrm>
                      <a:off x="0" y="0"/>
                      <a:ext cx="4160520" cy="451365"/>
                    </a:xfrm>
                    <a:prstGeom prst="rect"/>
                  </pic:spPr>
                </pic:pic>
              </a:graphicData>
            </a:graphic>
          </wp:inline>
        </w:drawing>
      </w:r>
    </w:p>
    <w:p>
      <w:pPr>
        <w:pStyle w:val="BodyText"/>
        <w:keepLines/>
        <w:widowControl/>
      </w:pPr>
      <w:r>
        <w:rPr>
          <w:rFonts w:ascii="Aptos" w:hAnsi="Aptos" w:eastAsia="Microsoft YaHei"/>
        </w:rPr>
        <w:t>65.3 mg 正好位于 MPU6050 原厂 X/Y 轴约 ±50 mg、Z 轴约 ±80 mg 的零 g 初始容差范围之间 [1]。完整链路把这一系统量级压缩到 3 至 4 mg，约降低 16 至 21 倍。由于比较对象的物理定义不同，这里应表述为等效误差量级改善，而不应写成传感器绝对精度提高了固定倍数。</w:t>
      </w:r>
    </w:p>
    <w:p>
      <w:pPr>
        <w:pStyle w:val="Heading2"/>
        <w:keepNext/>
        <w:keepLines/>
        <w:widowControl/>
      </w:pPr>
      <w:r>
        <w:t>5 1 陀螺误差的更高阶影响</w:t>
      </w:r>
    </w:p>
    <w:p>
      <w:pPr>
        <w:pStyle w:val="BodyText"/>
        <w:keepLines/>
        <w:widowControl/>
      </w:pPr>
      <w:r>
        <w:rPr>
          <w:rFonts w:ascii="Aptos" w:hAnsi="Aptos" w:eastAsia="Microsoft YaHei"/>
        </w:rPr>
        <w:t>陀螺常值偏置先积分为姿态误差，再把重力投影到水平轴，因此短时水平位置误差可近似按时间三次方增长 [5][7]。</w:t>
      </w:r>
    </w:p>
    <w:p>
      <w:pPr>
        <w:spacing w:before="100" w:after="100"/>
        <w:jc w:val="center"/>
        <w:keepLines/>
        <w:widowControl/>
      </w:pPr>
      <w:r>
        <w:drawing>
          <wp:inline xmlns:a="http://schemas.openxmlformats.org/drawingml/2006/main" xmlns:pic="http://schemas.openxmlformats.org/drawingml/2006/picture">
            <wp:extent cx="5212080" cy="771461"/>
            <wp:docPr id="10" name="Picture 10" descr="陀螺常值偏置引起姿态误差线性增长和水平位置误差近似三次增长的公式" title="陀螺常值偏置引起姿态误差线性增长和水平位置误差近似三次增长的公式"/>
            <wp:cNvGraphicFramePr>
              <a:graphicFrameLocks noChangeAspect="1"/>
            </wp:cNvGraphicFramePr>
            <a:graphic>
              <a:graphicData uri="http://schemas.openxmlformats.org/drawingml/2006/picture">
                <pic:pic>
                  <pic:nvPicPr>
                    <pic:cNvPr id="0" name="gyro_growth.png"/>
                    <pic:cNvPicPr/>
                  </pic:nvPicPr>
                  <pic:blipFill>
                    <a:blip r:embed="rId19"/>
                    <a:stretch>
                      <a:fillRect/>
                    </a:stretch>
                  </pic:blipFill>
                  <pic:spPr>
                    <a:xfrm>
                      <a:off x="0" y="0"/>
                      <a:ext cx="5212080" cy="771461"/>
                    </a:xfrm>
                    <a:prstGeom prst="rect"/>
                  </pic:spPr>
                </pic:pic>
              </a:graphicData>
            </a:graphic>
          </wp:inline>
        </w:drawing>
      </w:r>
    </w:p>
    <w:p>
      <w:pPr>
        <w:pStyle w:val="BodyText"/>
        <w:keepLines/>
        <w:widowControl/>
      </w:pPr>
      <w:r>
        <w:rPr>
          <w:rFonts w:ascii="Aptos" w:hAnsi="Aptos" w:eastAsia="Microsoft YaHei"/>
        </w:rPr>
        <w:t>本实验移除了完整静止段的陀螺均值，因此削弱了这一误差路径。若改为真实在线冷启动条件，陀螺启动零偏和运行中偏置漂移可能重新成为主导项，最终位置误差不能沿用本报告的 659 m 结果。</w:t>
      </w:r>
    </w:p>
    <w:p>
      <w:pPr>
        <w:pStyle w:val="Heading1"/>
        <w:keepNext/>
        <w:keepLines/>
        <w:widowControl/>
      </w:pPr>
      <w:r>
        <w:t>6 与公开规格和文献的对比</w:t>
      </w:r>
    </w:p>
    <w:p>
      <w:pPr>
        <w:pStyle w:val="Heading2"/>
        <w:keepNext/>
        <w:keepLines/>
        <w:widowControl/>
      </w:pPr>
      <w:r>
        <w:t>6 1 MPU6050 官方规格</w:t>
      </w:r>
    </w:p>
    <w:p>
      <w:pPr>
        <w:pStyle w:val="BodyText"/>
        <w:keepLines/>
        <w:widowControl/>
      </w:pPr>
      <w:r>
        <w:rPr>
          <w:rFonts w:ascii="Aptos" w:hAnsi="Aptos" w:eastAsia="Microsoft YaHei"/>
        </w:rPr>
        <w:t>InvenSense 的 MPU6000 和 MPU6050 产品规格书给出：加速度计灵敏度初始容差约 ±3%，交叉轴灵敏度约 ±2%，零 g 初始容差约为 X/Y 轴 ±50 mg、Z 轴 ±80 mg；0 至 70 ℃ 的零 g 温度变化典型值为 X/Y 轴 ±35 mg、Z 轴 ±60 mg [1]。这些是器件级典型规格，不是标定后导航误差。</w:t>
      </w:r>
    </w:p>
    <w:p>
      <w:pPr>
        <w:pStyle w:val="BodyText"/>
        <w:keepLines/>
        <w:widowControl/>
      </w:pPr>
      <w:r>
        <w:rPr>
          <w:rFonts w:ascii="Aptos" w:hAnsi="Aptos" w:eastAsia="Microsoft YaHei"/>
        </w:rPr>
        <w:t>本项目估计的零偏、比例误差和非正交项均落在这些器件级范围内。Raw 传播反算的 65.3 mg 也与 50 至 80 mg 的原始零 g 容差一致，因此 A B C 实验在数量级上自洽。</w:t>
      </w:r>
    </w:p>
    <w:p>
      <w:pPr>
        <w:pStyle w:val="Heading2"/>
        <w:keepNext/>
        <w:keepLines/>
        <w:widowControl/>
      </w:pPr>
      <w:r>
        <w:t>6 2 MPU6050 实测论文</w:t>
      </w:r>
    </w:p>
    <w:p>
      <w:pPr>
        <w:pStyle w:val="BodyText"/>
        <w:keepLines/>
        <w:widowControl/>
      </w:pPr>
      <w:r>
        <w:rPr>
          <w:rFonts w:ascii="Aptos" w:hAnsi="Aptos" w:eastAsia="Microsoft YaHei"/>
        </w:rPr>
        <w:t>Mammadov 在 2022 年的 MPU6050 实测中报告，校准后加速度计平均残余约为 X 轴 0.040 m/s²、Y 轴 0.026 m/s²、Z 轴 0.038 m/s²，即约 4.7 mg、2.65 mg 和 3.87 mg [2]。本项目的独立静止比力模长偏差为 2.73 mg，纯 INS 速度和位置反算为 3.10 至 4.01 mg，与该论文的几 mg 范围重叠。</w:t>
      </w:r>
    </w:p>
    <w:p>
      <w:pPr>
        <w:pStyle w:val="BodyText"/>
        <w:keepLines/>
        <w:widowControl/>
      </w:pPr>
      <w:r>
        <w:rPr>
          <w:rFonts w:ascii="Aptos" w:hAnsi="Aptos" w:eastAsia="Microsoft YaHei"/>
        </w:rPr>
        <w:t>Marevac 等人在 2026 年对五颗 MPU6050 的自动校准实验中，将加速度计残余偏置控制在 0.015 g 以内 [6]。该研究主要解决任意安装方向下的轴映射、符号和静态偏置，应用目标是实时姿态与人机交互，并非纯惯导位置传播。本项目的几 mg 结果低于 15 mg，但两者不能据此直接排名。</w:t>
      </w:r>
    </w:p>
    <w:p>
      <w:pPr>
        <w:pStyle w:val="Heading2"/>
        <w:keepNext/>
        <w:keepLines/>
        <w:widowControl/>
      </w:pPr>
      <w:r>
        <w:t>6 3 纯惯导误差传播背景</w:t>
      </w:r>
    </w:p>
    <w:p>
      <w:pPr>
        <w:pStyle w:val="BodyText"/>
        <w:keepLines/>
        <w:widowControl/>
      </w:pPr>
      <w:r>
        <w:rPr>
          <w:rFonts w:ascii="Aptos" w:hAnsi="Aptos" w:eastAsia="Microsoft YaHei"/>
        </w:rPr>
        <w:t>Capuano 等人对五款智能手机 MEMS IMU 进行实验后指出，纯惯性直线传播在 100 s 内的累计水平误差均超过 1 km [5]。该研究验证了消费级 MEMS 的无约束纯惯导会迅速发散。与之相比，本项目在 183 s 得到 659 m，但本项目使用 MPU6050、静止场景、不同初始化与算法，并移除了静止段陀螺均值，因此只能说明结果不违背消费级 MEMS 的典型量级，不能宣称优于手机基准。</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84"/>
        <w:gridCol w:w="2484"/>
        <w:gridCol w:w="2484"/>
        <w:gridCol w:w="2484"/>
      </w:tblGrid>
      <w:tr>
        <w:trPr>
          <w:tblHeader w:val="true"/>
        </w:trPr>
        <w:tc>
          <w:tcPr>
            <w:tcW w:type="dxa" w:w="1944"/>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7"/>
              </w:rPr>
              <w:t>来源或层级</w:t>
            </w:r>
          </w:p>
        </w:tc>
        <w:tc>
          <w:tcPr>
            <w:tcW w:type="dxa" w:w="2592"/>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7"/>
              </w:rPr>
              <w:t>公开或实测指标</w:t>
            </w:r>
          </w:p>
        </w:tc>
        <w:tc>
          <w:tcPr>
            <w:tcW w:type="dxa" w:w="2376"/>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7"/>
              </w:rPr>
              <w:t>本项目对应结果</w:t>
            </w:r>
          </w:p>
        </w:tc>
        <w:tc>
          <w:tcPr>
            <w:tcW w:type="dxa" w:w="2952"/>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7"/>
              </w:rPr>
              <w:t>可比性说明</w:t>
            </w:r>
          </w:p>
        </w:tc>
      </w:tr>
      <w:tr>
        <w:tc>
          <w:tcPr>
            <w:tcW w:type="dxa" w:w="1944"/>
            <w:tcMar>
              <w:top w:w="100" w:type="dxa"/>
              <w:start w:w="120" w:type="dxa"/>
              <w:bottom w:w="100" w:type="dxa"/>
              <w:end w:w="120" w:type="dxa"/>
            </w:tcMar>
            <w:vAlign w:val="center"/>
          </w:tcPr>
          <w:p>
            <w:pPr>
              <w:spacing w:after="0" w:line="259" w:lineRule="auto"/>
              <w:jc w:val="left"/>
            </w:pPr>
            <w:r>
              <w:rPr>
                <w:rFonts w:ascii="Aptos" w:hAnsi="Aptos" w:eastAsia="Microsoft YaHei"/>
                <w:sz w:val="17"/>
              </w:rPr>
              <w:t>MPU6050 规格书</w:t>
            </w:r>
          </w:p>
        </w:tc>
        <w:tc>
          <w:tcPr>
            <w:tcW w:type="dxa" w:w="2592"/>
            <w:tcMar>
              <w:top w:w="100" w:type="dxa"/>
              <w:start w:w="120" w:type="dxa"/>
              <w:bottom w:w="100" w:type="dxa"/>
              <w:end w:w="120" w:type="dxa"/>
            </w:tcMar>
            <w:vAlign w:val="center"/>
          </w:tcPr>
          <w:p>
            <w:pPr>
              <w:spacing w:after="0" w:line="259" w:lineRule="auto"/>
              <w:jc w:val="left"/>
            </w:pPr>
            <w:r>
              <w:rPr>
                <w:rFonts w:ascii="Aptos" w:hAnsi="Aptos" w:eastAsia="Microsoft YaHei"/>
                <w:sz w:val="17"/>
              </w:rPr>
              <w:t>零 g 初始容差 50 至 80 mg</w:t>
            </w:r>
          </w:p>
        </w:tc>
        <w:tc>
          <w:tcPr>
            <w:tcW w:type="dxa" w:w="2376"/>
            <w:tcMar>
              <w:top w:w="100" w:type="dxa"/>
              <w:start w:w="120" w:type="dxa"/>
              <w:bottom w:w="100" w:type="dxa"/>
              <w:end w:w="120" w:type="dxa"/>
            </w:tcMar>
            <w:vAlign w:val="center"/>
          </w:tcPr>
          <w:p>
            <w:pPr>
              <w:spacing w:after="0" w:line="259" w:lineRule="auto"/>
              <w:jc w:val="center"/>
            </w:pPr>
            <w:r>
              <w:rPr>
                <w:rFonts w:ascii="Aptos" w:hAnsi="Aptos" w:eastAsia="Microsoft YaHei"/>
                <w:sz w:val="17"/>
              </w:rPr>
              <w:t>Raw 位置等效 65.3 mg</w:t>
            </w:r>
          </w:p>
        </w:tc>
        <w:tc>
          <w:tcPr>
            <w:tcW w:type="dxa" w:w="2952"/>
            <w:tcMar>
              <w:top w:w="100" w:type="dxa"/>
              <w:start w:w="120" w:type="dxa"/>
              <w:bottom w:w="100" w:type="dxa"/>
              <w:end w:w="120" w:type="dxa"/>
            </w:tcMar>
            <w:vAlign w:val="center"/>
          </w:tcPr>
          <w:p>
            <w:pPr>
              <w:spacing w:after="0" w:line="259" w:lineRule="auto"/>
              <w:jc w:val="left"/>
            </w:pPr>
            <w:r>
              <w:rPr>
                <w:rFonts w:ascii="Aptos" w:hAnsi="Aptos" w:eastAsia="Microsoft YaHei"/>
                <w:sz w:val="17"/>
              </w:rPr>
              <w:t>仅作原始量级核对</w:t>
            </w:r>
          </w:p>
        </w:tc>
      </w:tr>
      <w:tr>
        <w:tc>
          <w:tcPr>
            <w:tcW w:type="dxa" w:w="1944"/>
            <w:shd w:fill="F5F9FC"/>
            <w:tcMar>
              <w:top w:w="100" w:type="dxa"/>
              <w:start w:w="120" w:type="dxa"/>
              <w:bottom w:w="100" w:type="dxa"/>
              <w:end w:w="120" w:type="dxa"/>
            </w:tcMar>
            <w:vAlign w:val="center"/>
          </w:tcPr>
          <w:p>
            <w:pPr>
              <w:spacing w:after="0" w:line="259" w:lineRule="auto"/>
              <w:jc w:val="left"/>
            </w:pPr>
            <w:r>
              <w:rPr>
                <w:rFonts w:ascii="Aptos" w:hAnsi="Aptos" w:eastAsia="Microsoft YaHei"/>
                <w:sz w:val="17"/>
              </w:rPr>
              <w:t>MPU6050 规格书</w:t>
            </w:r>
          </w:p>
        </w:tc>
        <w:tc>
          <w:tcPr>
            <w:tcW w:type="dxa" w:w="2592"/>
            <w:shd w:fill="F5F9FC"/>
            <w:tcMar>
              <w:top w:w="100" w:type="dxa"/>
              <w:start w:w="120" w:type="dxa"/>
              <w:bottom w:w="100" w:type="dxa"/>
              <w:end w:w="120" w:type="dxa"/>
            </w:tcMar>
            <w:vAlign w:val="center"/>
          </w:tcPr>
          <w:p>
            <w:pPr>
              <w:spacing w:after="0" w:line="259" w:lineRule="auto"/>
              <w:jc w:val="left"/>
            </w:pPr>
            <w:r>
              <w:rPr>
                <w:rFonts w:ascii="Aptos" w:hAnsi="Aptos" w:eastAsia="Microsoft YaHei"/>
                <w:sz w:val="17"/>
              </w:rPr>
              <w:t>灵敏度初始容差 ±3%</w:t>
            </w:r>
          </w:p>
        </w:tc>
        <w:tc>
          <w:tcPr>
            <w:tcW w:type="dxa" w:w="2376"/>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7"/>
              </w:rPr>
              <w:t>最大比例误差 2.10%</w:t>
            </w:r>
          </w:p>
        </w:tc>
        <w:tc>
          <w:tcPr>
            <w:tcW w:type="dxa" w:w="2952"/>
            <w:shd w:fill="F5F9FC"/>
            <w:tcMar>
              <w:top w:w="100" w:type="dxa"/>
              <w:start w:w="120" w:type="dxa"/>
              <w:bottom w:w="100" w:type="dxa"/>
              <w:end w:w="120" w:type="dxa"/>
            </w:tcMar>
            <w:vAlign w:val="center"/>
          </w:tcPr>
          <w:p>
            <w:pPr>
              <w:spacing w:after="0" w:line="259" w:lineRule="auto"/>
              <w:jc w:val="left"/>
            </w:pPr>
            <w:r>
              <w:rPr>
                <w:rFonts w:ascii="Aptos" w:hAnsi="Aptos" w:eastAsia="Microsoft YaHei"/>
                <w:sz w:val="17"/>
              </w:rPr>
              <w:t>参数定义接近</w:t>
            </w:r>
          </w:p>
        </w:tc>
      </w:tr>
      <w:tr>
        <w:tc>
          <w:tcPr>
            <w:tcW w:type="dxa" w:w="1944"/>
            <w:tcMar>
              <w:top w:w="100" w:type="dxa"/>
              <w:start w:w="120" w:type="dxa"/>
              <w:bottom w:w="100" w:type="dxa"/>
              <w:end w:w="120" w:type="dxa"/>
            </w:tcMar>
            <w:vAlign w:val="center"/>
          </w:tcPr>
          <w:p>
            <w:pPr>
              <w:spacing w:after="0" w:line="259" w:lineRule="auto"/>
              <w:jc w:val="left"/>
            </w:pPr>
            <w:r>
              <w:rPr>
                <w:rFonts w:ascii="Aptos" w:hAnsi="Aptos" w:eastAsia="Microsoft YaHei"/>
                <w:sz w:val="17"/>
              </w:rPr>
              <w:t>Mammadov 2022</w:t>
            </w:r>
          </w:p>
        </w:tc>
        <w:tc>
          <w:tcPr>
            <w:tcW w:type="dxa" w:w="2592"/>
            <w:tcMar>
              <w:top w:w="100" w:type="dxa"/>
              <w:start w:w="120" w:type="dxa"/>
              <w:bottom w:w="100" w:type="dxa"/>
              <w:end w:w="120" w:type="dxa"/>
            </w:tcMar>
            <w:vAlign w:val="center"/>
          </w:tcPr>
          <w:p>
            <w:pPr>
              <w:spacing w:after="0" w:line="259" w:lineRule="auto"/>
              <w:jc w:val="left"/>
            </w:pPr>
            <w:r>
              <w:rPr>
                <w:rFonts w:ascii="Aptos" w:hAnsi="Aptos" w:eastAsia="Microsoft YaHei"/>
                <w:sz w:val="17"/>
              </w:rPr>
              <w:t>校准残余 2.65 至 4.7 mg</w:t>
            </w:r>
          </w:p>
        </w:tc>
        <w:tc>
          <w:tcPr>
            <w:tcW w:type="dxa" w:w="2376"/>
            <w:tcMar>
              <w:top w:w="100" w:type="dxa"/>
              <w:start w:w="120" w:type="dxa"/>
              <w:bottom w:w="100" w:type="dxa"/>
              <w:end w:w="120" w:type="dxa"/>
            </w:tcMar>
            <w:vAlign w:val="center"/>
          </w:tcPr>
          <w:p>
            <w:pPr>
              <w:spacing w:after="0" w:line="259" w:lineRule="auto"/>
              <w:jc w:val="center"/>
            </w:pPr>
            <w:r>
              <w:rPr>
                <w:rFonts w:ascii="Aptos" w:hAnsi="Aptos" w:eastAsia="Microsoft YaHei"/>
                <w:sz w:val="17"/>
              </w:rPr>
              <w:t>独立验证 2.7 至 4.0 mg</w:t>
            </w:r>
          </w:p>
        </w:tc>
        <w:tc>
          <w:tcPr>
            <w:tcW w:type="dxa" w:w="2952"/>
            <w:tcMar>
              <w:top w:w="100" w:type="dxa"/>
              <w:start w:w="120" w:type="dxa"/>
              <w:bottom w:w="100" w:type="dxa"/>
              <w:end w:w="120" w:type="dxa"/>
            </w:tcMar>
            <w:vAlign w:val="center"/>
          </w:tcPr>
          <w:p>
            <w:pPr>
              <w:spacing w:after="0" w:line="259" w:lineRule="auto"/>
              <w:jc w:val="left"/>
            </w:pPr>
            <w:r>
              <w:rPr>
                <w:rFonts w:ascii="Aptos" w:hAnsi="Aptos" w:eastAsia="Microsoft YaHei"/>
                <w:sz w:val="17"/>
              </w:rPr>
              <w:t>指标和工况不同但量级可比</w:t>
            </w:r>
          </w:p>
        </w:tc>
      </w:tr>
      <w:tr>
        <w:tc>
          <w:tcPr>
            <w:tcW w:type="dxa" w:w="1944"/>
            <w:shd w:fill="F5F9FC"/>
            <w:tcMar>
              <w:top w:w="100" w:type="dxa"/>
              <w:start w:w="120" w:type="dxa"/>
              <w:bottom w:w="100" w:type="dxa"/>
              <w:end w:w="120" w:type="dxa"/>
            </w:tcMar>
            <w:vAlign w:val="center"/>
          </w:tcPr>
          <w:p>
            <w:pPr>
              <w:spacing w:after="0" w:line="259" w:lineRule="auto"/>
              <w:jc w:val="left"/>
            </w:pPr>
            <w:r>
              <w:rPr>
                <w:rFonts w:ascii="Aptos" w:hAnsi="Aptos" w:eastAsia="Microsoft YaHei"/>
                <w:sz w:val="17"/>
              </w:rPr>
              <w:t>Marevac 等 2026</w:t>
            </w:r>
          </w:p>
        </w:tc>
        <w:tc>
          <w:tcPr>
            <w:tcW w:type="dxa" w:w="2592"/>
            <w:shd w:fill="F5F9FC"/>
            <w:tcMar>
              <w:top w:w="100" w:type="dxa"/>
              <w:start w:w="120" w:type="dxa"/>
              <w:bottom w:w="100" w:type="dxa"/>
              <w:end w:w="120" w:type="dxa"/>
            </w:tcMar>
            <w:vAlign w:val="center"/>
          </w:tcPr>
          <w:p>
            <w:pPr>
              <w:spacing w:after="0" w:line="259" w:lineRule="auto"/>
              <w:jc w:val="left"/>
            </w:pPr>
            <w:r>
              <w:rPr>
                <w:rFonts w:ascii="Aptos" w:hAnsi="Aptos" w:eastAsia="Microsoft YaHei"/>
                <w:sz w:val="17"/>
              </w:rPr>
              <w:t>五颗器件残余小于 15 mg</w:t>
            </w:r>
          </w:p>
        </w:tc>
        <w:tc>
          <w:tcPr>
            <w:tcW w:type="dxa" w:w="2376"/>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7"/>
              </w:rPr>
              <w:t>独立验证 2.7 至 4.0 mg</w:t>
            </w:r>
          </w:p>
        </w:tc>
        <w:tc>
          <w:tcPr>
            <w:tcW w:type="dxa" w:w="2952"/>
            <w:shd w:fill="F5F9FC"/>
            <w:tcMar>
              <w:top w:w="100" w:type="dxa"/>
              <w:start w:w="120" w:type="dxa"/>
              <w:bottom w:w="100" w:type="dxa"/>
              <w:end w:w="120" w:type="dxa"/>
            </w:tcMar>
            <w:vAlign w:val="center"/>
          </w:tcPr>
          <w:p>
            <w:pPr>
              <w:spacing w:after="0" w:line="259" w:lineRule="auto"/>
              <w:jc w:val="left"/>
            </w:pPr>
            <w:r>
              <w:rPr>
                <w:rFonts w:ascii="Aptos" w:hAnsi="Aptos" w:eastAsia="Microsoft YaHei"/>
                <w:sz w:val="17"/>
              </w:rPr>
              <w:t>校准目标与评价场景不同</w:t>
            </w:r>
          </w:p>
        </w:tc>
      </w:tr>
      <w:tr>
        <w:tc>
          <w:tcPr>
            <w:tcW w:type="dxa" w:w="1944"/>
            <w:tcMar>
              <w:top w:w="100" w:type="dxa"/>
              <w:start w:w="120" w:type="dxa"/>
              <w:bottom w:w="100" w:type="dxa"/>
              <w:end w:w="120" w:type="dxa"/>
            </w:tcMar>
            <w:vAlign w:val="center"/>
          </w:tcPr>
          <w:p>
            <w:pPr>
              <w:spacing w:after="0" w:line="259" w:lineRule="auto"/>
              <w:jc w:val="left"/>
            </w:pPr>
            <w:r>
              <w:rPr>
                <w:rFonts w:ascii="Aptos" w:hAnsi="Aptos" w:eastAsia="Microsoft YaHei"/>
                <w:sz w:val="17"/>
              </w:rPr>
              <w:t>Capuano 等 2023</w:t>
            </w:r>
          </w:p>
        </w:tc>
        <w:tc>
          <w:tcPr>
            <w:tcW w:type="dxa" w:w="2592"/>
            <w:tcMar>
              <w:top w:w="100" w:type="dxa"/>
              <w:start w:w="120" w:type="dxa"/>
              <w:bottom w:w="100" w:type="dxa"/>
              <w:end w:w="120" w:type="dxa"/>
            </w:tcMar>
            <w:vAlign w:val="center"/>
          </w:tcPr>
          <w:p>
            <w:pPr>
              <w:spacing w:after="0" w:line="259" w:lineRule="auto"/>
              <w:jc w:val="left"/>
            </w:pPr>
            <w:r>
              <w:rPr>
                <w:rFonts w:ascii="Aptos" w:hAnsi="Aptos" w:eastAsia="Microsoft YaHei"/>
                <w:sz w:val="17"/>
              </w:rPr>
              <w:t>五款手机 100 s 超过 1 km</w:t>
            </w:r>
          </w:p>
        </w:tc>
        <w:tc>
          <w:tcPr>
            <w:tcW w:type="dxa" w:w="2376"/>
            <w:tcMar>
              <w:top w:w="100" w:type="dxa"/>
              <w:start w:w="120" w:type="dxa"/>
              <w:bottom w:w="100" w:type="dxa"/>
              <w:end w:w="120" w:type="dxa"/>
            </w:tcMar>
            <w:vAlign w:val="center"/>
          </w:tcPr>
          <w:p>
            <w:pPr>
              <w:spacing w:after="0" w:line="259" w:lineRule="auto"/>
              <w:jc w:val="center"/>
            </w:pPr>
            <w:r>
              <w:rPr>
                <w:rFonts w:ascii="Aptos" w:hAnsi="Aptos" w:eastAsia="Microsoft YaHei"/>
                <w:sz w:val="17"/>
              </w:rPr>
              <w:t>183 s 为 659 m</w:t>
            </w:r>
          </w:p>
        </w:tc>
        <w:tc>
          <w:tcPr>
            <w:tcW w:type="dxa" w:w="2952"/>
            <w:tcMar>
              <w:top w:w="100" w:type="dxa"/>
              <w:start w:w="120" w:type="dxa"/>
              <w:bottom w:w="100" w:type="dxa"/>
              <w:end w:w="120" w:type="dxa"/>
            </w:tcMar>
            <w:vAlign w:val="center"/>
          </w:tcPr>
          <w:p>
            <w:pPr>
              <w:spacing w:after="0" w:line="259" w:lineRule="auto"/>
              <w:jc w:val="left"/>
            </w:pPr>
            <w:r>
              <w:rPr>
                <w:rFonts w:ascii="Aptos" w:hAnsi="Aptos" w:eastAsia="Microsoft YaHei"/>
                <w:sz w:val="17"/>
              </w:rPr>
              <w:t>本项目移除陀螺静止段均值</w:t>
            </w:r>
          </w:p>
        </w:tc>
      </w:tr>
    </w:tbl>
    <w:p>
      <w:pPr>
        <w:spacing w:after="0"/>
      </w:pPr>
    </w:p>
    <w:p>
      <w:pPr>
        <w:pStyle w:val="Heading1"/>
        <w:keepNext/>
        <w:keepLines/>
        <w:widowControl/>
      </w:pPr>
      <w:r>
        <w:t>7 结果解释与限制</w:t>
      </w:r>
    </w:p>
    <w:p>
      <w:pPr>
        <w:pStyle w:val="Heading2"/>
        <w:keepNext/>
        <w:keepLines/>
        <w:widowControl/>
      </w:pPr>
      <w:r>
        <w:t>7 1 可以支持的结论</w:t>
      </w:r>
    </w:p>
    <w:p>
      <w:pPr>
        <w:pStyle w:val="ListBullet"/>
        <w:keepLines/>
        <w:widowControl/>
      </w:pPr>
      <w:r>
        <w:rPr>
          <w:rFonts w:ascii="Aptos" w:hAnsi="Aptos" w:eastAsia="Microsoft YaHei"/>
        </w:rPr>
        <w:t>24 位置矩阵有效消除了单颗 MPU6050 的主要零偏、比例因子与轴间非正交误差。</w:t>
      </w:r>
    </w:p>
    <w:p>
      <w:pPr>
        <w:pStyle w:val="ListBullet"/>
        <w:keepLines/>
        <w:widowControl/>
      </w:pPr>
      <w:r>
        <w:rPr>
          <w:rFonts w:ascii="Aptos" w:hAnsi="Aptos" w:eastAsia="Microsoft YaHei"/>
        </w:rPr>
        <w:t>标定集上的 1 至 2 mg 内部一致性在独立数据上转化为约 3 至 4 mg 的系统等效残余，跨数据集性能没有出现数量级退化。</w:t>
      </w:r>
    </w:p>
    <w:p>
      <w:pPr>
        <w:pStyle w:val="ListBullet"/>
        <w:keepLines/>
        <w:widowControl/>
      </w:pPr>
      <w:r>
        <w:rPr>
          <w:rFonts w:ascii="Aptos" w:hAnsi="Aptos" w:eastAsia="Microsoft YaHei"/>
        </w:rPr>
        <w:t>仅温补的改善有限，当前独立静止区间的主要收益来自加速度计确定性标定。</w:t>
      </w:r>
    </w:p>
    <w:p>
      <w:pPr>
        <w:pStyle w:val="ListBullet"/>
        <w:keepLines/>
        <w:widowControl/>
      </w:pPr>
      <w:r>
        <w:rPr>
          <w:rFonts w:ascii="Aptos" w:hAnsi="Aptos" w:eastAsia="Microsoft YaHei"/>
        </w:rPr>
        <w:t>天向或重力模长残余约 2.7 mg 与 1 g 输入下的比例因子残差、启动零偏和温补残差相容，不构成标定失败证据。</w:t>
      </w:r>
    </w:p>
    <w:p>
      <w:pPr>
        <w:pStyle w:val="Heading2"/>
        <w:keepNext/>
        <w:keepLines/>
        <w:widowControl/>
      </w:pPr>
      <w:r>
        <w:t>7 2 不能外推的结论</w:t>
      </w:r>
    </w:p>
    <w:p>
      <w:pPr>
        <w:pStyle w:val="ListBullet"/>
        <w:keepLines/>
        <w:widowControl/>
      </w:pPr>
      <w:r>
        <w:rPr>
          <w:rFonts w:ascii="Aptos" w:hAnsi="Aptos" w:eastAsia="Microsoft YaHei"/>
        </w:rPr>
        <w:t>不能把 659 m 解释为道路动态定位误差，也不能按时间比例外推到更长的 GNSS 中断。</w:t>
      </w:r>
    </w:p>
    <w:p>
      <w:pPr>
        <w:pStyle w:val="ListBullet"/>
        <w:keepLines/>
        <w:widowControl/>
      </w:pPr>
      <w:r>
        <w:rPr>
          <w:rFonts w:ascii="Aptos" w:hAnsi="Aptos" w:eastAsia="Microsoft YaHei"/>
        </w:rPr>
        <w:t>不能把 3 至 4 mg 等效值当作单一轴的真实常值偏置，因为姿态与随机误差也参与传播。</w:t>
      </w:r>
    </w:p>
    <w:p>
      <w:pPr>
        <w:pStyle w:val="ListBullet"/>
        <w:keepLines/>
        <w:widowControl/>
      </w:pPr>
      <w:r>
        <w:rPr>
          <w:rFonts w:ascii="Aptos" w:hAnsi="Aptos" w:eastAsia="Microsoft YaHei"/>
        </w:rPr>
        <w:t>不能用本实验评价真实冷启动的完全自主 INS，因为陀螺均值来自被评估的完整静止区间。</w:t>
      </w:r>
    </w:p>
    <w:p>
      <w:pPr>
        <w:pStyle w:val="ListBullet"/>
        <w:keepLines/>
        <w:widowControl/>
      </w:pPr>
      <w:r>
        <w:rPr>
          <w:rFonts w:ascii="Aptos" w:hAnsi="Aptos" w:eastAsia="Microsoft YaHei"/>
        </w:rPr>
        <w:t>不能据此证明温度模型已跨启动、跨季节或跨器件泛化。24 位置采集温度跨度只有 0.71 ℃，且当前结论来自单颗器件。</w:t>
      </w:r>
    </w:p>
    <w:p>
      <w:pPr>
        <w:pStyle w:val="Heading1"/>
        <w:keepNext/>
        <w:keepLines/>
        <w:widowControl/>
      </w:pPr>
      <w:r>
        <w:t>8 下一阶段工作建议</w:t>
      </w:r>
    </w:p>
    <w:p>
      <w:pPr>
        <w:pStyle w:val="ListNumber"/>
        <w:keepLines/>
        <w:widowControl/>
      </w:pPr>
      <w:r>
        <w:rPr>
          <w:rFonts w:ascii="Aptos" w:hAnsi="Aptos" w:eastAsia="Microsoft YaHei"/>
        </w:rPr>
        <w:t>冻结当前 Ca 和 ba 作为基线。除非机械安装、传感器器件或量程配置发生变化，不再通过微调矩阵最后几位来追求标定集残差。</w:t>
      </w:r>
    </w:p>
    <w:p>
      <w:pPr>
        <w:pStyle w:val="ListNumber"/>
        <w:keepLines/>
        <w:widowControl/>
      </w:pPr>
      <w:r>
        <w:rPr>
          <w:rFonts w:ascii="Aptos" w:hAnsi="Aptos" w:eastAsia="Microsoft YaHei"/>
        </w:rPr>
        <w:t>建立启动零偏流程。每次上电保留一段因果静止窗口，分别估计陀螺与加速度计启动偏置，记录估计方差、温度和静止质量，并设置拒绝门限。</w:t>
      </w:r>
    </w:p>
    <w:p>
      <w:pPr>
        <w:pStyle w:val="ListNumber"/>
        <w:keepLines/>
        <w:widowControl/>
      </w:pPr>
      <w:r>
        <w:rPr>
          <w:rFonts w:ascii="Aptos" w:hAnsi="Aptos" w:eastAsia="Microsoft YaHei"/>
        </w:rPr>
        <w:t>进行跨启动跨温度留出验证。至少覆盖低中高三个温区，每个温区进行多次独立上电；所有模型阶数和系数只用训练会话确定，验证会话只用于评价。</w:t>
      </w:r>
    </w:p>
    <w:p>
      <w:pPr>
        <w:pStyle w:val="ListNumber"/>
        <w:keepLines/>
        <w:widowControl/>
      </w:pPr>
      <w:r>
        <w:rPr>
          <w:rFonts w:ascii="Aptos" w:hAnsi="Aptos" w:eastAsia="Microsoft YaHei"/>
        </w:rPr>
        <w:t>在 ESKF 中引入运行中偏置状态。对陀螺和加速度计采用随机游走或一阶 Gauss Markov 模型，过程噪声由 Allan 方差与道路数据联合整定。</w:t>
      </w:r>
    </w:p>
    <w:p>
      <w:pPr>
        <w:pStyle w:val="ListNumber"/>
        <w:keepLines/>
        <w:widowControl/>
      </w:pPr>
      <w:r>
        <w:rPr>
          <w:rFonts w:ascii="Aptos" w:hAnsi="Aptos" w:eastAsia="Microsoft YaHei"/>
        </w:rPr>
        <w:t>利用外部约束保持可观性。车辆场景优先组合 GNSS、零速更新、非完整约束和轮速；视觉或里程计可作为长时间 GNSS 中断的补充。</w:t>
      </w:r>
    </w:p>
    <w:p>
      <w:pPr>
        <w:pStyle w:val="ListNumber"/>
        <w:keepLines/>
        <w:widowControl/>
      </w:pPr>
      <w:r>
        <w:rPr>
          <w:rFonts w:ascii="Aptos" w:hAnsi="Aptos" w:eastAsia="Microsoft YaHei"/>
        </w:rPr>
        <w:t>建立自动回归报告。每次标定输出参数范围、24 姿态门限、独立静止传播、不同启动和温区统计，防止仅凭单次曲线判断性能。</w:t>
      </w:r>
    </w:p>
    <w:p>
      <w:pPr>
        <w:pStyle w:val="Heading2"/>
        <w:keepNext/>
        <w:keepLines/>
        <w:widowControl/>
      </w:pPr>
      <w:r>
        <w:t>8 1 建议验收指标</w:t>
      </w:r>
    </w:p>
    <w:p>
      <w:pPr>
        <w:pStyle w:val="BodyText"/>
        <w:keepLines/>
        <w:widowControl/>
      </w:pPr>
      <w:r>
        <w:rPr>
          <w:rFonts w:ascii="Aptos" w:hAnsi="Aptos" w:eastAsia="Microsoft YaHei"/>
        </w:rPr>
        <w:t>下表是基于当前结果提出的项目内部门限，不是行业标准。它们用于防止后续修改破坏已取得的性能。</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84"/>
        <w:gridCol w:w="2484"/>
        <w:gridCol w:w="2484"/>
        <w:gridCol w:w="2484"/>
      </w:tblGrid>
      <w:tr>
        <w:trPr>
          <w:tblHeader w:val="true"/>
        </w:trPr>
        <w:tc>
          <w:tcPr>
            <w:tcW w:type="dxa" w:w="3312"/>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8"/>
              </w:rPr>
              <w:t>检查项</w:t>
            </w:r>
          </w:p>
        </w:tc>
        <w:tc>
          <w:tcPr>
            <w:tcW w:type="dxa" w:w="2736"/>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8"/>
              </w:rPr>
              <w:t>建议门限</w:t>
            </w:r>
          </w:p>
        </w:tc>
        <w:tc>
          <w:tcPr>
            <w:tcW w:type="dxa" w:w="2088"/>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8"/>
              </w:rPr>
              <w:t>当前结果</w:t>
            </w:r>
          </w:p>
        </w:tc>
        <w:tc>
          <w:tcPr>
            <w:tcW w:type="dxa" w:w="1512"/>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8"/>
              </w:rPr>
              <w:t>状态</w:t>
            </w:r>
          </w:p>
        </w:tc>
      </w:tr>
      <w:tr>
        <w:tc>
          <w:tcPr>
            <w:tcW w:type="dxa" w:w="3312"/>
            <w:tcMar>
              <w:top w:w="100" w:type="dxa"/>
              <w:start w:w="120" w:type="dxa"/>
              <w:bottom w:w="100" w:type="dxa"/>
              <w:end w:w="120" w:type="dxa"/>
            </w:tcMar>
            <w:vAlign w:val="center"/>
          </w:tcPr>
          <w:p>
            <w:pPr>
              <w:spacing w:after="0" w:line="259" w:lineRule="auto"/>
              <w:jc w:val="left"/>
            </w:pPr>
            <w:r>
              <w:rPr>
                <w:rFonts w:ascii="Aptos" w:hAnsi="Aptos" w:eastAsia="Microsoft YaHei"/>
                <w:sz w:val="18"/>
              </w:rPr>
              <w:t>24 姿态方向检查最大误差</w:t>
            </w:r>
          </w:p>
        </w:tc>
        <w:tc>
          <w:tcPr>
            <w:tcW w:type="dxa" w:w="2736"/>
            <w:tcMar>
              <w:top w:w="100" w:type="dxa"/>
              <w:start w:w="120" w:type="dxa"/>
              <w:bottom w:w="100" w:type="dxa"/>
              <w:end w:w="120" w:type="dxa"/>
            </w:tcMar>
            <w:vAlign w:val="center"/>
          </w:tcPr>
          <w:p>
            <w:pPr>
              <w:spacing w:after="0" w:line="259" w:lineRule="auto"/>
              <w:jc w:val="center"/>
            </w:pPr>
            <w:r>
              <w:rPr>
                <w:rFonts w:ascii="Aptos" w:hAnsi="Aptos" w:eastAsia="Microsoft YaHei"/>
                <w:sz w:val="18"/>
              </w:rPr>
              <w:t>≤3.0°</w:t>
            </w:r>
          </w:p>
        </w:tc>
        <w:tc>
          <w:tcPr>
            <w:tcW w:type="dxa" w:w="2088"/>
            <w:tcMar>
              <w:top w:w="100" w:type="dxa"/>
              <w:start w:w="120" w:type="dxa"/>
              <w:bottom w:w="100" w:type="dxa"/>
              <w:end w:w="120" w:type="dxa"/>
            </w:tcMar>
            <w:vAlign w:val="center"/>
          </w:tcPr>
          <w:p>
            <w:pPr>
              <w:spacing w:after="0" w:line="259" w:lineRule="auto"/>
              <w:jc w:val="center"/>
            </w:pPr>
            <w:r>
              <w:rPr>
                <w:rFonts w:ascii="Aptos" w:hAnsi="Aptos" w:eastAsia="Microsoft YaHei"/>
                <w:sz w:val="18"/>
              </w:rPr>
              <w:t>2.91°</w:t>
            </w:r>
          </w:p>
        </w:tc>
        <w:tc>
          <w:tcPr>
            <w:tcW w:type="dxa" w:w="1512"/>
            <w:tcMar>
              <w:top w:w="100" w:type="dxa"/>
              <w:start w:w="120" w:type="dxa"/>
              <w:bottom w:w="100" w:type="dxa"/>
              <w:end w:w="120" w:type="dxa"/>
            </w:tcMar>
            <w:vAlign w:val="center"/>
          </w:tcPr>
          <w:p>
            <w:pPr>
              <w:spacing w:after="0" w:line="259" w:lineRule="auto"/>
              <w:jc w:val="center"/>
            </w:pPr>
            <w:r>
              <w:rPr>
                <w:rFonts w:ascii="Aptos" w:hAnsi="Aptos" w:eastAsia="Microsoft YaHei"/>
                <w:sz w:val="18"/>
              </w:rPr>
              <w:t>通过</w:t>
            </w:r>
          </w:p>
        </w:tc>
      </w:tr>
      <w:tr>
        <w:tc>
          <w:tcPr>
            <w:tcW w:type="dxa" w:w="3312"/>
            <w:shd w:fill="F5F9FC"/>
            <w:tcMar>
              <w:top w:w="100" w:type="dxa"/>
              <w:start w:w="120" w:type="dxa"/>
              <w:bottom w:w="100" w:type="dxa"/>
              <w:end w:w="120" w:type="dxa"/>
            </w:tcMar>
            <w:vAlign w:val="center"/>
          </w:tcPr>
          <w:p>
            <w:pPr>
              <w:spacing w:after="0" w:line="259" w:lineRule="auto"/>
              <w:jc w:val="left"/>
            </w:pPr>
            <w:r>
              <w:rPr>
                <w:rFonts w:ascii="Aptos" w:hAnsi="Aptos" w:eastAsia="Microsoft YaHei"/>
                <w:sz w:val="18"/>
              </w:rPr>
              <w:t>标定集重力模长 RMS</w:t>
            </w:r>
          </w:p>
        </w:tc>
        <w:tc>
          <w:tcPr>
            <w:tcW w:type="dxa" w:w="2736"/>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8"/>
              </w:rPr>
              <w:t>≤2.0 mg</w:t>
            </w:r>
          </w:p>
        </w:tc>
        <w:tc>
          <w:tcPr>
            <w:tcW w:type="dxa" w:w="2088"/>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8"/>
              </w:rPr>
              <w:t>1.01 mg</w:t>
            </w:r>
          </w:p>
        </w:tc>
        <w:tc>
          <w:tcPr>
            <w:tcW w:type="dxa" w:w="1512"/>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8"/>
              </w:rPr>
              <w:t>通过</w:t>
            </w:r>
          </w:p>
        </w:tc>
      </w:tr>
      <w:tr>
        <w:tc>
          <w:tcPr>
            <w:tcW w:type="dxa" w:w="3312"/>
            <w:tcMar>
              <w:top w:w="100" w:type="dxa"/>
              <w:start w:w="120" w:type="dxa"/>
              <w:bottom w:w="100" w:type="dxa"/>
              <w:end w:w="120" w:type="dxa"/>
            </w:tcMar>
            <w:vAlign w:val="center"/>
          </w:tcPr>
          <w:p>
            <w:pPr>
              <w:spacing w:after="0" w:line="259" w:lineRule="auto"/>
              <w:jc w:val="left"/>
            </w:pPr>
            <w:r>
              <w:rPr>
                <w:rFonts w:ascii="Aptos" w:hAnsi="Aptos" w:eastAsia="Microsoft YaHei"/>
                <w:sz w:val="18"/>
              </w:rPr>
              <w:t>独立静止比力模长偏差</w:t>
            </w:r>
          </w:p>
        </w:tc>
        <w:tc>
          <w:tcPr>
            <w:tcW w:type="dxa" w:w="2736"/>
            <w:tcMar>
              <w:top w:w="100" w:type="dxa"/>
              <w:start w:w="120" w:type="dxa"/>
              <w:bottom w:w="100" w:type="dxa"/>
              <w:end w:w="120" w:type="dxa"/>
            </w:tcMar>
            <w:vAlign w:val="center"/>
          </w:tcPr>
          <w:p>
            <w:pPr>
              <w:spacing w:after="0" w:line="259" w:lineRule="auto"/>
              <w:jc w:val="center"/>
            </w:pPr>
            <w:r>
              <w:rPr>
                <w:rFonts w:ascii="Aptos" w:hAnsi="Aptos" w:eastAsia="Microsoft YaHei"/>
                <w:sz w:val="18"/>
              </w:rPr>
              <w:t>≤3.5 mg</w:t>
            </w:r>
          </w:p>
        </w:tc>
        <w:tc>
          <w:tcPr>
            <w:tcW w:type="dxa" w:w="2088"/>
            <w:tcMar>
              <w:top w:w="100" w:type="dxa"/>
              <w:start w:w="120" w:type="dxa"/>
              <w:bottom w:w="100" w:type="dxa"/>
              <w:end w:w="120" w:type="dxa"/>
            </w:tcMar>
            <w:vAlign w:val="center"/>
          </w:tcPr>
          <w:p>
            <w:pPr>
              <w:spacing w:after="0" w:line="259" w:lineRule="auto"/>
              <w:jc w:val="center"/>
            </w:pPr>
            <w:r>
              <w:rPr>
                <w:rFonts w:ascii="Aptos" w:hAnsi="Aptos" w:eastAsia="Microsoft YaHei"/>
                <w:sz w:val="18"/>
              </w:rPr>
              <w:t>2.73 mg</w:t>
            </w:r>
          </w:p>
        </w:tc>
        <w:tc>
          <w:tcPr>
            <w:tcW w:type="dxa" w:w="1512"/>
            <w:tcMar>
              <w:top w:w="100" w:type="dxa"/>
              <w:start w:w="120" w:type="dxa"/>
              <w:bottom w:w="100" w:type="dxa"/>
              <w:end w:w="120" w:type="dxa"/>
            </w:tcMar>
            <w:vAlign w:val="center"/>
          </w:tcPr>
          <w:p>
            <w:pPr>
              <w:spacing w:after="0" w:line="259" w:lineRule="auto"/>
              <w:jc w:val="center"/>
            </w:pPr>
            <w:r>
              <w:rPr>
                <w:rFonts w:ascii="Aptos" w:hAnsi="Aptos" w:eastAsia="Microsoft YaHei"/>
                <w:sz w:val="18"/>
              </w:rPr>
              <w:t>通过</w:t>
            </w:r>
          </w:p>
        </w:tc>
      </w:tr>
      <w:tr>
        <w:tc>
          <w:tcPr>
            <w:tcW w:type="dxa" w:w="3312"/>
            <w:shd w:fill="F5F9FC"/>
            <w:tcMar>
              <w:top w:w="100" w:type="dxa"/>
              <w:start w:w="120" w:type="dxa"/>
              <w:bottom w:w="100" w:type="dxa"/>
              <w:end w:w="120" w:type="dxa"/>
            </w:tcMar>
            <w:vAlign w:val="center"/>
          </w:tcPr>
          <w:p>
            <w:pPr>
              <w:spacing w:after="0" w:line="259" w:lineRule="auto"/>
              <w:jc w:val="left"/>
            </w:pPr>
            <w:r>
              <w:rPr>
                <w:rFonts w:ascii="Aptos" w:hAnsi="Aptos" w:eastAsia="Microsoft YaHei"/>
                <w:sz w:val="18"/>
              </w:rPr>
              <w:t>独立传播速度等效误差</w:t>
            </w:r>
          </w:p>
        </w:tc>
        <w:tc>
          <w:tcPr>
            <w:tcW w:type="dxa" w:w="2736"/>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8"/>
              </w:rPr>
              <w:t>≤4.0 mg</w:t>
            </w:r>
          </w:p>
        </w:tc>
        <w:tc>
          <w:tcPr>
            <w:tcW w:type="dxa" w:w="2088"/>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8"/>
              </w:rPr>
              <w:t>3.10 mg</w:t>
            </w:r>
          </w:p>
        </w:tc>
        <w:tc>
          <w:tcPr>
            <w:tcW w:type="dxa" w:w="1512"/>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8"/>
              </w:rPr>
              <w:t>通过</w:t>
            </w:r>
          </w:p>
        </w:tc>
      </w:tr>
      <w:tr>
        <w:tc>
          <w:tcPr>
            <w:tcW w:type="dxa" w:w="3312"/>
            <w:tcMar>
              <w:top w:w="100" w:type="dxa"/>
              <w:start w:w="120" w:type="dxa"/>
              <w:bottom w:w="100" w:type="dxa"/>
              <w:end w:w="120" w:type="dxa"/>
            </w:tcMar>
            <w:vAlign w:val="center"/>
          </w:tcPr>
          <w:p>
            <w:pPr>
              <w:spacing w:after="0" w:line="259" w:lineRule="auto"/>
              <w:jc w:val="left"/>
            </w:pPr>
            <w:r>
              <w:rPr>
                <w:rFonts w:ascii="Aptos" w:hAnsi="Aptos" w:eastAsia="Microsoft YaHei"/>
                <w:sz w:val="18"/>
              </w:rPr>
              <w:t>独立传播位置等效误差</w:t>
            </w:r>
          </w:p>
        </w:tc>
        <w:tc>
          <w:tcPr>
            <w:tcW w:type="dxa" w:w="2736"/>
            <w:tcMar>
              <w:top w:w="100" w:type="dxa"/>
              <w:start w:w="120" w:type="dxa"/>
              <w:bottom w:w="100" w:type="dxa"/>
              <w:end w:w="120" w:type="dxa"/>
            </w:tcMar>
            <w:vAlign w:val="center"/>
          </w:tcPr>
          <w:p>
            <w:pPr>
              <w:spacing w:after="0" w:line="259" w:lineRule="auto"/>
              <w:jc w:val="center"/>
            </w:pPr>
            <w:r>
              <w:rPr>
                <w:rFonts w:ascii="Aptos" w:hAnsi="Aptos" w:eastAsia="Microsoft YaHei"/>
                <w:sz w:val="18"/>
              </w:rPr>
              <w:t>≤5.0 mg</w:t>
            </w:r>
          </w:p>
        </w:tc>
        <w:tc>
          <w:tcPr>
            <w:tcW w:type="dxa" w:w="2088"/>
            <w:tcMar>
              <w:top w:w="100" w:type="dxa"/>
              <w:start w:w="120" w:type="dxa"/>
              <w:bottom w:w="100" w:type="dxa"/>
              <w:end w:w="120" w:type="dxa"/>
            </w:tcMar>
            <w:vAlign w:val="center"/>
          </w:tcPr>
          <w:p>
            <w:pPr>
              <w:spacing w:after="0" w:line="259" w:lineRule="auto"/>
              <w:jc w:val="center"/>
            </w:pPr>
            <w:r>
              <w:rPr>
                <w:rFonts w:ascii="Aptos" w:hAnsi="Aptos" w:eastAsia="Microsoft YaHei"/>
                <w:sz w:val="18"/>
              </w:rPr>
              <w:t>4.01 mg</w:t>
            </w:r>
          </w:p>
        </w:tc>
        <w:tc>
          <w:tcPr>
            <w:tcW w:type="dxa" w:w="1512"/>
            <w:tcMar>
              <w:top w:w="100" w:type="dxa"/>
              <w:start w:w="120" w:type="dxa"/>
              <w:bottom w:w="100" w:type="dxa"/>
              <w:end w:w="120" w:type="dxa"/>
            </w:tcMar>
            <w:vAlign w:val="center"/>
          </w:tcPr>
          <w:p>
            <w:pPr>
              <w:spacing w:after="0" w:line="259" w:lineRule="auto"/>
              <w:jc w:val="center"/>
            </w:pPr>
            <w:r>
              <w:rPr>
                <w:rFonts w:ascii="Aptos" w:hAnsi="Aptos" w:eastAsia="Microsoft YaHei"/>
                <w:sz w:val="18"/>
              </w:rPr>
              <w:t>通过</w:t>
            </w:r>
          </w:p>
        </w:tc>
      </w:tr>
      <w:tr>
        <w:tc>
          <w:tcPr>
            <w:tcW w:type="dxa" w:w="3312"/>
            <w:shd w:fill="F5F9FC"/>
            <w:tcMar>
              <w:top w:w="100" w:type="dxa"/>
              <w:start w:w="120" w:type="dxa"/>
              <w:bottom w:w="100" w:type="dxa"/>
              <w:end w:w="120" w:type="dxa"/>
            </w:tcMar>
            <w:vAlign w:val="center"/>
          </w:tcPr>
          <w:p>
            <w:pPr>
              <w:spacing w:after="0" w:line="259" w:lineRule="auto"/>
              <w:jc w:val="left"/>
            </w:pPr>
            <w:r>
              <w:rPr>
                <w:rFonts w:ascii="Aptos" w:hAnsi="Aptos" w:eastAsia="Microsoft YaHei"/>
                <w:sz w:val="18"/>
              </w:rPr>
              <w:t>跨启动与跨温区覆盖</w:t>
            </w:r>
          </w:p>
        </w:tc>
        <w:tc>
          <w:tcPr>
            <w:tcW w:type="dxa" w:w="2736"/>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8"/>
              </w:rPr>
              <w:t>≥3 温区且每区多次启动</w:t>
            </w:r>
          </w:p>
        </w:tc>
        <w:tc>
          <w:tcPr>
            <w:tcW w:type="dxa" w:w="2088"/>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8"/>
              </w:rPr>
              <w:t>尚未完成</w:t>
            </w:r>
          </w:p>
        </w:tc>
        <w:tc>
          <w:tcPr>
            <w:tcW w:type="dxa" w:w="1512"/>
            <w:shd w:fill="F5F9FC"/>
            <w:tcMar>
              <w:top w:w="100" w:type="dxa"/>
              <w:start w:w="120" w:type="dxa"/>
              <w:bottom w:w="100" w:type="dxa"/>
              <w:end w:w="120" w:type="dxa"/>
            </w:tcMar>
            <w:vAlign w:val="center"/>
          </w:tcPr>
          <w:p>
            <w:pPr>
              <w:spacing w:after="0" w:line="259" w:lineRule="auto"/>
              <w:jc w:val="center"/>
            </w:pPr>
            <w:r>
              <w:rPr>
                <w:rFonts w:ascii="Aptos" w:hAnsi="Aptos" w:eastAsia="Microsoft YaHei"/>
                <w:sz w:val="18"/>
              </w:rPr>
              <w:t>下一阶段</w:t>
            </w:r>
          </w:p>
        </w:tc>
      </w:tr>
    </w:tbl>
    <w:p>
      <w:pPr>
        <w:spacing w:after="0"/>
      </w:pPr>
    </w:p>
    <w:p>
      <w:pPr>
        <w:pStyle w:val="Heading1"/>
        <w:keepNext/>
        <w:keepLines/>
        <w:widowControl/>
      </w:pPr>
      <w:r>
        <w:t>9 总结</w:t>
      </w:r>
    </w:p>
    <w:p>
      <w:pPr>
        <w:pStyle w:val="BodyText"/>
        <w:keepLines/>
        <w:widowControl/>
      </w:pPr>
      <w:r>
        <w:rPr>
          <w:rFonts w:ascii="Aptos" w:hAnsi="Aptos" w:eastAsia="Microsoft YaHei"/>
        </w:rPr>
        <w:t>本次标定已经把单颗 MPU6050 的主要加速度计确定性误差压缩到几 mg 水平。24 位置标定集的三轴合并残差为 2.18 mg，独立静止数据给出的比力模长偏差为 2.73 mg，纯 INS 速度与位置传播反算为 3.10 至 4.01 mg。多个指标相互印证，且标定矩阵与器件规格相符。</w:t>
      </w:r>
    </w:p>
    <w:p>
      <w:pPr>
        <w:pStyle w:val="BodyText"/>
        <w:keepLines/>
        <w:widowControl/>
      </w:pPr>
      <w:r>
        <w:rPr>
          <w:rFonts w:ascii="Aptos" w:hAnsi="Aptos" w:eastAsia="Microsoft YaHei"/>
        </w:rPr>
        <w:t>因此，当前阶段最合理的工程判断是：加速度计温补与 24 位置标定链路已达到可用且较好的水平，不需要继续围绕 Ca 的最后几位进行高投入优化。更可能改善实际 GNSS 中断性能的工作，是因果启动零偏估计、跨启动温漂验证、运行中偏置建模，以及 GNSS、ZUPT、非完整约束或视觉里程计等外部信息融合。</w:t>
      </w:r>
    </w:p>
    <w:p>
      <w:r>
        <w:br w:type="page"/>
      </w:r>
    </w:p>
    <w:p>
      <w:pPr>
        <w:pStyle w:val="Heading1"/>
        <w:keepNext/>
        <w:keepLines/>
        <w:widowControl/>
      </w:pPr>
      <w:r>
        <w:t>附录 A 数据与计算追溯</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68"/>
        <w:gridCol w:w="4968"/>
      </w:tblGrid>
      <w:tr>
        <w:trPr>
          <w:tblHeader w:val="true"/>
        </w:trPr>
        <w:tc>
          <w:tcPr>
            <w:tcW w:type="dxa" w:w="2880"/>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7"/>
              </w:rPr>
              <w:t>内容</w:t>
            </w:r>
          </w:p>
        </w:tc>
        <w:tc>
          <w:tcPr>
            <w:tcW w:type="dxa" w:w="6912"/>
            <w:shd w:fill="1F4E78"/>
            <w:tcMar>
              <w:top w:w="100" w:type="dxa"/>
              <w:start w:w="120" w:type="dxa"/>
              <w:bottom w:w="100" w:type="dxa"/>
              <w:end w:w="120" w:type="dxa"/>
            </w:tcMar>
            <w:vAlign w:val="center"/>
          </w:tcPr>
          <w:p>
            <w:pPr>
              <w:spacing w:after="0"/>
              <w:jc w:val="center"/>
            </w:pPr>
            <w:r>
              <w:rPr>
                <w:rFonts w:ascii="Aptos" w:hAnsi="Aptos" w:eastAsia="Microsoft YaHei"/>
                <w:b/>
                <w:color w:val="FFFFFF"/>
                <w:sz w:val="17"/>
              </w:rPr>
              <w:t>项目内来源</w:t>
            </w:r>
          </w:p>
        </w:tc>
      </w:tr>
      <w:tr>
        <w:tc>
          <w:tcPr>
            <w:tcW w:type="dxa" w:w="2880"/>
            <w:tcMar>
              <w:top w:w="100" w:type="dxa"/>
              <w:start w:w="120" w:type="dxa"/>
              <w:bottom w:w="100" w:type="dxa"/>
              <w:end w:w="120" w:type="dxa"/>
            </w:tcMar>
            <w:vAlign w:val="center"/>
          </w:tcPr>
          <w:p>
            <w:pPr>
              <w:spacing w:after="0" w:line="259" w:lineRule="auto"/>
              <w:jc w:val="left"/>
            </w:pPr>
            <w:r>
              <w:rPr>
                <w:rFonts w:ascii="Aptos" w:hAnsi="Aptos" w:eastAsia="Microsoft YaHei"/>
                <w:sz w:val="17"/>
              </w:rPr>
              <w:t>24 位置标定参数</w:t>
            </w:r>
          </w:p>
        </w:tc>
        <w:tc>
          <w:tcPr>
            <w:tcW w:type="dxa" w:w="6912"/>
            <w:tcMar>
              <w:top w:w="100" w:type="dxa"/>
              <w:start w:w="120" w:type="dxa"/>
              <w:bottom w:w="100" w:type="dxa"/>
              <w:end w:w="120" w:type="dxa"/>
            </w:tcMar>
            <w:vAlign w:val="center"/>
          </w:tcPr>
          <w:p>
            <w:pPr>
              <w:spacing w:after="0" w:line="259" w:lineRule="auto"/>
              <w:jc w:val="left"/>
            </w:pPr>
            <w:r>
              <w:rPr>
                <w:rFonts w:ascii="Aptos" w:hAnsi="Aptos" w:eastAsia="Microsoft YaHei"/>
                <w:sz w:val="17"/>
              </w:rPr>
              <w:t>data/calib24/calib24_result_tempcomp_azgxgy.mat</w:t>
            </w:r>
          </w:p>
        </w:tc>
      </w:tr>
      <w:tr>
        <w:tc>
          <w:tcPr>
            <w:tcW w:type="dxa" w:w="2880"/>
            <w:shd w:fill="F5F9FC"/>
            <w:tcMar>
              <w:top w:w="100" w:type="dxa"/>
              <w:start w:w="120" w:type="dxa"/>
              <w:bottom w:w="100" w:type="dxa"/>
              <w:end w:w="120" w:type="dxa"/>
            </w:tcMar>
            <w:vAlign w:val="center"/>
          </w:tcPr>
          <w:p>
            <w:pPr>
              <w:spacing w:after="0" w:line="259" w:lineRule="auto"/>
              <w:jc w:val="left"/>
            </w:pPr>
            <w:r>
              <w:rPr>
                <w:rFonts w:ascii="Aptos" w:hAnsi="Aptos" w:eastAsia="Microsoft YaHei"/>
                <w:sz w:val="17"/>
              </w:rPr>
              <w:t>24 位置逐姿态统计</w:t>
            </w:r>
          </w:p>
        </w:tc>
        <w:tc>
          <w:tcPr>
            <w:tcW w:type="dxa" w:w="6912"/>
            <w:shd w:fill="F5F9FC"/>
            <w:tcMar>
              <w:top w:w="100" w:type="dxa"/>
              <w:start w:w="120" w:type="dxa"/>
              <w:bottom w:w="100" w:type="dxa"/>
              <w:end w:w="120" w:type="dxa"/>
            </w:tcMar>
            <w:vAlign w:val="center"/>
          </w:tcPr>
          <w:p>
            <w:pPr>
              <w:spacing w:after="0" w:line="259" w:lineRule="auto"/>
              <w:jc w:val="left"/>
            </w:pPr>
            <w:r>
              <w:rPr>
                <w:rFonts w:ascii="Aptos" w:hAnsi="Aptos" w:eastAsia="Microsoft YaHei"/>
                <w:sz w:val="17"/>
              </w:rPr>
              <w:t>data/calib24/calib24_summary_tempcomp_azgxgy.csv</w:t>
            </w:r>
          </w:p>
        </w:tc>
      </w:tr>
      <w:tr>
        <w:tc>
          <w:tcPr>
            <w:tcW w:type="dxa" w:w="2880"/>
            <w:tcMar>
              <w:top w:w="100" w:type="dxa"/>
              <w:start w:w="120" w:type="dxa"/>
              <w:bottom w:w="100" w:type="dxa"/>
              <w:end w:w="120" w:type="dxa"/>
            </w:tcMar>
            <w:vAlign w:val="center"/>
          </w:tcPr>
          <w:p>
            <w:pPr>
              <w:spacing w:after="0" w:line="259" w:lineRule="auto"/>
              <w:jc w:val="left"/>
            </w:pPr>
            <w:r>
              <w:rPr>
                <w:rFonts w:ascii="Aptos" w:hAnsi="Aptos" w:eastAsia="Microsoft YaHei"/>
                <w:sz w:val="17"/>
              </w:rPr>
              <w:t>温度模型系数</w:t>
            </w:r>
          </w:p>
        </w:tc>
        <w:tc>
          <w:tcPr>
            <w:tcW w:type="dxa" w:w="6912"/>
            <w:tcMar>
              <w:top w:w="100" w:type="dxa"/>
              <w:start w:w="120" w:type="dxa"/>
              <w:bottom w:w="100" w:type="dxa"/>
              <w:end w:w="120" w:type="dxa"/>
            </w:tcMar>
            <w:vAlign w:val="center"/>
          </w:tcPr>
          <w:p>
            <w:pPr>
              <w:spacing w:after="0" w:line="259" w:lineRule="auto"/>
              <w:jc w:val="left"/>
            </w:pPr>
            <w:r>
              <w:rPr>
                <w:rFonts w:ascii="Aptos" w:hAnsi="Aptos" w:eastAsia="Microsoft YaHei"/>
                <w:sz w:val="17"/>
              </w:rPr>
              <w:t>data/calib24/temp_coeffs_raw.csv</w:t>
            </w:r>
          </w:p>
        </w:tc>
      </w:tr>
      <w:tr>
        <w:tc>
          <w:tcPr>
            <w:tcW w:type="dxa" w:w="2880"/>
            <w:shd w:fill="F5F9FC"/>
            <w:tcMar>
              <w:top w:w="100" w:type="dxa"/>
              <w:start w:w="120" w:type="dxa"/>
              <w:bottom w:w="100" w:type="dxa"/>
              <w:end w:w="120" w:type="dxa"/>
            </w:tcMar>
            <w:vAlign w:val="center"/>
          </w:tcPr>
          <w:p>
            <w:pPr>
              <w:spacing w:after="0" w:line="259" w:lineRule="auto"/>
              <w:jc w:val="left"/>
            </w:pPr>
            <w:r>
              <w:rPr>
                <w:rFonts w:ascii="Aptos" w:hAnsi="Aptos" w:eastAsia="Microsoft YaHei"/>
                <w:sz w:val="17"/>
              </w:rPr>
              <w:t>温度模型阶数报告</w:t>
            </w:r>
          </w:p>
        </w:tc>
        <w:tc>
          <w:tcPr>
            <w:tcW w:type="dxa" w:w="6912"/>
            <w:shd w:fill="F5F9FC"/>
            <w:tcMar>
              <w:top w:w="100" w:type="dxa"/>
              <w:start w:w="120" w:type="dxa"/>
              <w:bottom w:w="100" w:type="dxa"/>
              <w:end w:w="120" w:type="dxa"/>
            </w:tcMar>
            <w:vAlign w:val="center"/>
          </w:tcPr>
          <w:p>
            <w:pPr>
              <w:spacing w:after="0" w:line="259" w:lineRule="auto"/>
              <w:jc w:val="left"/>
            </w:pPr>
            <w:r>
              <w:rPr>
                <w:rFonts w:ascii="Aptos" w:hAnsi="Aptos" w:eastAsia="Microsoft YaHei"/>
                <w:sz w:val="17"/>
              </w:rPr>
              <w:t>data/calib24/温度模型阶数选择报告.md</w:t>
            </w:r>
          </w:p>
        </w:tc>
      </w:tr>
      <w:tr>
        <w:tc>
          <w:tcPr>
            <w:tcW w:type="dxa" w:w="2880"/>
            <w:tcMar>
              <w:top w:w="100" w:type="dxa"/>
              <w:start w:w="120" w:type="dxa"/>
              <w:bottom w:w="100" w:type="dxa"/>
              <w:end w:w="120" w:type="dxa"/>
            </w:tcMar>
            <w:vAlign w:val="center"/>
          </w:tcPr>
          <w:p>
            <w:pPr>
              <w:spacing w:after="0" w:line="259" w:lineRule="auto"/>
              <w:jc w:val="left"/>
            </w:pPr>
            <w:r>
              <w:rPr>
                <w:rFonts w:ascii="Aptos" w:hAnsi="Aptos" w:eastAsia="Microsoft YaHei"/>
                <w:sz w:val="17"/>
              </w:rPr>
              <w:t>独立静止传播结果</w:t>
            </w:r>
          </w:p>
        </w:tc>
        <w:tc>
          <w:tcPr>
            <w:tcW w:type="dxa" w:w="6912"/>
            <w:tcMar>
              <w:top w:w="100" w:type="dxa"/>
              <w:start w:w="120" w:type="dxa"/>
              <w:bottom w:w="100" w:type="dxa"/>
              <w:end w:w="120" w:type="dxa"/>
            </w:tcMar>
            <w:vAlign w:val="center"/>
          </w:tcPr>
          <w:p>
            <w:pPr>
              <w:spacing w:after="0" w:line="259" w:lineRule="auto"/>
              <w:jc w:val="left"/>
            </w:pPr>
            <w:r>
              <w:rPr>
                <w:rFonts w:ascii="Aptos" w:hAnsi="Aptos" w:eastAsia="Microsoft YaHei"/>
                <w:sz w:val="17"/>
              </w:rPr>
              <w:t>data/decoded/20260923104556_电动车2/static_ins_acc_cal_compare.mat</w:t>
            </w:r>
          </w:p>
        </w:tc>
      </w:tr>
      <w:tr>
        <w:tc>
          <w:tcPr>
            <w:tcW w:type="dxa" w:w="2880"/>
            <w:shd w:fill="F5F9FC"/>
            <w:tcMar>
              <w:top w:w="100" w:type="dxa"/>
              <w:start w:w="120" w:type="dxa"/>
              <w:bottom w:w="100" w:type="dxa"/>
              <w:end w:w="120" w:type="dxa"/>
            </w:tcMar>
            <w:vAlign w:val="center"/>
          </w:tcPr>
          <w:p>
            <w:pPr>
              <w:spacing w:after="0" w:line="259" w:lineRule="auto"/>
              <w:jc w:val="left"/>
            </w:pPr>
            <w:r>
              <w:rPr>
                <w:rFonts w:ascii="Aptos" w:hAnsi="Aptos" w:eastAsia="Microsoft YaHei"/>
                <w:sz w:val="17"/>
              </w:rPr>
              <w:t>独立静止摘要</w:t>
            </w:r>
          </w:p>
        </w:tc>
        <w:tc>
          <w:tcPr>
            <w:tcW w:type="dxa" w:w="6912"/>
            <w:shd w:fill="F5F9FC"/>
            <w:tcMar>
              <w:top w:w="100" w:type="dxa"/>
              <w:start w:w="120" w:type="dxa"/>
              <w:bottom w:w="100" w:type="dxa"/>
              <w:end w:w="120" w:type="dxa"/>
            </w:tcMar>
            <w:vAlign w:val="center"/>
          </w:tcPr>
          <w:p>
            <w:pPr>
              <w:spacing w:after="0" w:line="259" w:lineRule="auto"/>
              <w:jc w:val="left"/>
            </w:pPr>
            <w:r>
              <w:rPr>
                <w:rFonts w:ascii="Aptos" w:hAnsi="Aptos" w:eastAsia="Microsoft YaHei"/>
                <w:sz w:val="17"/>
              </w:rPr>
              <w:t>data/decoded/20260923104556_电动车2/static_ins_acc_cal_summary.md</w:t>
            </w:r>
          </w:p>
        </w:tc>
      </w:tr>
      <w:tr>
        <w:tc>
          <w:tcPr>
            <w:tcW w:type="dxa" w:w="2880"/>
            <w:tcMar>
              <w:top w:w="100" w:type="dxa"/>
              <w:start w:w="120" w:type="dxa"/>
              <w:bottom w:w="100" w:type="dxa"/>
              <w:end w:w="120" w:type="dxa"/>
            </w:tcMar>
            <w:vAlign w:val="center"/>
          </w:tcPr>
          <w:p>
            <w:pPr>
              <w:spacing w:after="0" w:line="259" w:lineRule="auto"/>
              <w:jc w:val="left"/>
            </w:pPr>
            <w:r>
              <w:rPr>
                <w:rFonts w:ascii="Aptos" w:hAnsi="Aptos" w:eastAsia="Microsoft YaHei"/>
                <w:sz w:val="17"/>
              </w:rPr>
              <w:t>复现实验脚本</w:t>
            </w:r>
          </w:p>
        </w:tc>
        <w:tc>
          <w:tcPr>
            <w:tcW w:type="dxa" w:w="6912"/>
            <w:tcMar>
              <w:top w:w="100" w:type="dxa"/>
              <w:start w:w="120" w:type="dxa"/>
              <w:bottom w:w="100" w:type="dxa"/>
              <w:end w:w="120" w:type="dxa"/>
            </w:tcMar>
            <w:vAlign w:val="center"/>
          </w:tcPr>
          <w:p>
            <w:pPr>
              <w:spacing w:after="0" w:line="259" w:lineRule="auto"/>
              <w:jc w:val="left"/>
            </w:pPr>
            <w:r>
              <w:rPr>
                <w:rFonts w:ascii="Aptos" w:hAnsi="Aptos" w:eastAsia="Microsoft YaHei"/>
                <w:sz w:val="17"/>
              </w:rPr>
              <w:t>data/decoded/20260923104556_电动车2/compare_acc_calibration_static_ins.m</w:t>
            </w:r>
          </w:p>
        </w:tc>
      </w:tr>
    </w:tbl>
    <w:p>
      <w:pPr>
        <w:spacing w:after="0"/>
      </w:pPr>
    </w:p>
    <w:p>
      <w:pPr>
        <w:pStyle w:val="Heading1"/>
        <w:keepNext/>
        <w:keepLines/>
        <w:widowControl/>
      </w:pPr>
      <w:r>
        <w:t>附录 B 核心计算</w:t>
      </w:r>
    </w:p>
    <w:p>
      <w:pPr>
        <w:pStyle w:val="BodyText"/>
        <w:keepLines/>
        <w:widowControl/>
      </w:pPr>
      <w:r>
        <w:rPr>
          <w:rFonts w:ascii="Aptos" w:hAnsi="Aptos" w:eastAsia="Microsoft YaHei"/>
        </w:rPr>
        <w:t>采用标准重力 9.80665 m/s² 进行 mg 换算。独立静止比力模长相对实验当地重力的偏差为 −0.02673 m/s²，对应 −2.73 mg。最终速度变化 5.573109 m/s 除以 183.1768 s 得 0.03042 m/s²，即 3.10 mg。最终位移 659.3598 m 通过 2Δp/t² 反算得 0.03929 m/s²，即 4.01 mg。</w:t>
      </w:r>
    </w:p>
    <w:p>
      <w:pPr>
        <w:pStyle w:val="BodyText"/>
        <w:keepLines/>
        <w:widowControl/>
      </w:pPr>
      <w:r>
        <w:rPr>
          <w:rFonts w:ascii="Aptos" w:hAnsi="Aptos" w:eastAsia="Microsoft YaHei"/>
        </w:rPr>
        <w:t>Raw 最终位移 10 753.5633 m 用同一公式反算为约 65.3 mg。Raw 到完整链路的最终速度改善为 95.33%，最终位置改善为 93.87%。这些结果来自同一传播程序、相同初始状态和相同时间区间。</w:t>
      </w:r>
    </w:p>
    <w:p>
      <w:pPr>
        <w:pStyle w:val="Heading1"/>
        <w:keepNext/>
        <w:keepLines/>
        <w:widowControl/>
      </w:pPr>
      <w:r>
        <w:t>参考文献</w:t>
      </w:r>
    </w:p>
    <w:p>
      <w:pPr>
        <w:pStyle w:val="BodyText"/>
        <w:spacing w:after="100"/>
        <w:ind w:left="360" w:hanging="360"/>
      </w:pPr>
      <w:r>
        <w:rPr>
          <w:rFonts w:ascii="Aptos" w:hAnsi="Aptos" w:eastAsia="Microsoft YaHei"/>
        </w:rPr>
        <w:t xml:space="preserve">[1] InvenSense. MPU-6000 and MPU-6050 Product Specification. Revision 3.4, 2013. </w:t>
      </w:r>
      <w:hyperlink r:id="rId20">
        <w:r>
          <w:rPr>
            <w:color w:val="1F4E78"/>
            <w:u w:val="single"/>
            <w:rFonts w:ascii="Aptos" w:hAnsi="Aptos" w:eastAsia="Microsoft YaHei"/>
          </w:rPr>
          <w:t>https://invensense.tdk.com/wp-content/uploads/2015/02/MPU-6000-Datasheet.pdf</w:t>
        </w:r>
      </w:hyperlink>
    </w:p>
    <w:p>
      <w:pPr>
        <w:pStyle w:val="BodyText"/>
        <w:spacing w:after="100"/>
        <w:ind w:left="360" w:hanging="360"/>
      </w:pPr>
      <w:r>
        <w:rPr>
          <w:rFonts w:ascii="Aptos" w:hAnsi="Aptos" w:eastAsia="Microsoft YaHei"/>
        </w:rPr>
        <w:t xml:space="preserve">[2] Mammadov A. Analysis of micro-electromechanical inertial measurement units for unmanned aerial vehicle applications. Scientific Journal of Silesian University of Technology Series Transport, 2022, 117:129-138. DOI 10.20858/sjsutst.2022.117.9. </w:t>
      </w:r>
      <w:hyperlink r:id="rId21">
        <w:r>
          <w:rPr>
            <w:color w:val="1F4E78"/>
            <w:u w:val="single"/>
            <w:rFonts w:ascii="Aptos" w:hAnsi="Aptos" w:eastAsia="Microsoft YaHei"/>
          </w:rPr>
          <w:t>https://doi.org/10.20858/sjsutst.2022.117.9</w:t>
        </w:r>
      </w:hyperlink>
    </w:p>
    <w:p>
      <w:pPr>
        <w:pStyle w:val="BodyText"/>
        <w:spacing w:after="100"/>
        <w:ind w:left="360" w:hanging="360"/>
      </w:pPr>
      <w:r>
        <w:rPr>
          <w:rFonts w:ascii="Aptos" w:hAnsi="Aptos" w:eastAsia="Microsoft YaHei"/>
        </w:rPr>
        <w:t xml:space="preserve">[3] Khankalantary S, Ranjbaran S, Mohammadkhani H. Simultaneous compensation of systematic errors of a low-cost MEMS triaxial accelerometer and its temperature dependency without accurate laboratory equipment. Sensor Review, 2021, 41(2):208-215. DOI 10.1108/SR-12-2020-0309. </w:t>
      </w:r>
      <w:hyperlink r:id="rId22">
        <w:r>
          <w:rPr>
            <w:color w:val="1F4E78"/>
            <w:u w:val="single"/>
            <w:rFonts w:ascii="Aptos" w:hAnsi="Aptos" w:eastAsia="Microsoft YaHei"/>
          </w:rPr>
          <w:t>https://doi.org/10.1108/SR-12-2020-0309</w:t>
        </w:r>
      </w:hyperlink>
    </w:p>
    <w:p>
      <w:pPr>
        <w:pStyle w:val="BodyText"/>
        <w:spacing w:after="100"/>
        <w:ind w:left="360" w:hanging="360"/>
      </w:pPr>
      <w:r>
        <w:rPr>
          <w:rFonts w:ascii="Aptos" w:hAnsi="Aptos" w:eastAsia="Microsoft YaHei"/>
        </w:rPr>
        <w:t xml:space="preserve">[4] Tedaldi D, Pretto A, Menegatti E. A robust and easy to implement method for IMU calibration without external equipments. IEEE ICRA, 2014:3042-3049. DOI 10.1109/ICRA.2014.6907297. </w:t>
      </w:r>
      <w:hyperlink r:id="rId23">
        <w:r>
          <w:rPr>
            <w:color w:val="1F4E78"/>
            <w:u w:val="single"/>
            <w:rFonts w:ascii="Aptos" w:hAnsi="Aptos" w:eastAsia="Microsoft YaHei"/>
          </w:rPr>
          <w:t>https://doi.org/10.1109/ICRA.2014.6907297</w:t>
        </w:r>
      </w:hyperlink>
    </w:p>
    <w:p>
      <w:pPr>
        <w:pStyle w:val="BodyText"/>
        <w:spacing w:after="100"/>
        <w:ind w:left="360" w:hanging="360"/>
      </w:pPr>
      <w:r>
        <w:rPr>
          <w:rFonts w:ascii="Aptos" w:hAnsi="Aptos" w:eastAsia="Microsoft YaHei"/>
        </w:rPr>
        <w:t xml:space="preserve">[5] Capuano V, Xu L, Estrada Benavides J. Smartphone MEMS accelerometer and gyroscope measurement errors laboratory testing and analysis of the effects on positioning performance. Sensors, 2023, 23(17):7609. DOI 10.3390/s23177609. </w:t>
      </w:r>
      <w:hyperlink r:id="rId24">
        <w:r>
          <w:rPr>
            <w:color w:val="1F4E78"/>
            <w:u w:val="single"/>
            <w:rFonts w:ascii="Aptos" w:hAnsi="Aptos" w:eastAsia="Microsoft YaHei"/>
          </w:rPr>
          <w:t>https://doi.org/10.3390/s23177609</w:t>
        </w:r>
      </w:hyperlink>
    </w:p>
    <w:p>
      <w:pPr>
        <w:pStyle w:val="BodyText"/>
        <w:spacing w:after="100"/>
        <w:ind w:left="360" w:hanging="360"/>
      </w:pPr>
      <w:r>
        <w:rPr>
          <w:rFonts w:ascii="Aptos" w:hAnsi="Aptos" w:eastAsia="Microsoft YaHei"/>
        </w:rPr>
        <w:t xml:space="preserve">[6] Marevac E, Kadušić E, Živić N, Ruland C. A low-latency embedded inertial motion tracking system for real-time applications. Electronics, 2026, 15(14):3043. DOI 10.3390/electronics15143043. </w:t>
      </w:r>
      <w:hyperlink r:id="rId25">
        <w:r>
          <w:rPr>
            <w:color w:val="1F4E78"/>
            <w:u w:val="single"/>
            <w:rFonts w:ascii="Aptos" w:hAnsi="Aptos" w:eastAsia="Microsoft YaHei"/>
          </w:rPr>
          <w:t>https://doi.org/10.3390/electronics15143043</w:t>
        </w:r>
      </w:hyperlink>
    </w:p>
    <w:p>
      <w:pPr>
        <w:pStyle w:val="BodyText"/>
        <w:spacing w:after="100"/>
        <w:ind w:left="360" w:hanging="360"/>
      </w:pPr>
      <w:r>
        <w:rPr>
          <w:rFonts w:ascii="Aptos" w:hAnsi="Aptos" w:eastAsia="Microsoft YaHei"/>
        </w:rPr>
        <w:t xml:space="preserve">[7] Groves P D. Navigation using inertial sensors. IEEE Aerospace and Electronic Systems Magazine, 2015, 30(2):42-69. DOI 10.1109/MAES.2014.130191. </w:t>
      </w:r>
      <w:hyperlink r:id="rId26">
        <w:r>
          <w:rPr>
            <w:color w:val="1F4E78"/>
            <w:u w:val="single"/>
            <w:rFonts w:ascii="Aptos" w:hAnsi="Aptos" w:eastAsia="Microsoft YaHei"/>
          </w:rPr>
          <w:t>https://doi.org/10.1109/MAES.2014.130191</w:t>
        </w:r>
      </w:hyperlink>
    </w:p>
    <w:sectPr w:rsidR="00FC693F" w:rsidRPr="0006063C" w:rsidSect="00034616">
      <w:footerReference w:type="default" r:id="rId9"/>
      <w:pgSz w:w="12240" w:h="15840"/>
      <w:pgMar w:top="1037" w:right="1152" w:bottom="979" w:left="1152"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Microsoft YaHei"/>
        <w:color w:val="6E6E6E"/>
        <w:sz w:val="16"/>
      </w:rPr>
      <w:t>MPU6050 温度补偿与 24 位置标定总结</w:t>
    </w:r>
  </w:p>
  <w:p>
    <w:pPr>
      <w:jc w:val="right"/>
    </w:pPr>
    <w:r>
      <w:rPr>
        <w:rFonts w:ascii="Aptos" w:hAnsi="Aptos" w:eastAsia="Microsoft YaHei"/>
      </w:rPr>
      <w:t xml:space="preserve">第 </w:t>
      <w:fldChar w:fldCharType="begin"/>
      <w:instrText xml:space="preserve"> PAGE </w:instrText>
      <w:fldChar w:fldCharType="separate"/>
      <w:t>1</w:t>
      <w:fldChar w:fldCharType="end"/>
    </w:r>
    <w:r>
      <w:rPr>
        <w:rFonts w:ascii="Aptos" w:hAnsi="Aptos" w:eastAsia="Microsoft YaHei"/>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w:hAnsi="Aptos"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ptos" w:hAnsi="Aptos"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ptos" w:hAnsi="Aptos"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jc w:val="center"/>
      <w:pBdr>
        <w:bottom w:val="nil"/>
      </w:pBdr>
    </w:pPr>
    <w:rPr>
      <w:rFonts w:asciiTheme="majorHAnsi" w:eastAsiaTheme="majorEastAsia" w:hAnsiTheme="majorHAnsi" w:cstheme="majorBidi" w:ascii="Aptos Display" w:hAnsi="Aptos Display"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Rule="auto" w:line="322"/>
      <w:ind w:firstLine="420"/>
    </w:pPr>
    <w:rPr>
      <w:rFonts w:ascii="Aptos" w:hAnsi="Aptos" w:eastAsia="Microsoft YaHe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3" w:lineRule="auto"/>
      <w:contextualSpacing/>
    </w:pPr>
    <w:rPr>
      <w:rFonts w:ascii="Aptos" w:hAnsi="Aptos" w:eastAsia="Microsoft YaHei"/>
      <w:sz w:val="21"/>
    </w:rPr>
  </w:style>
  <w:style w:type="paragraph" w:styleId="ListBullet2">
    <w:name w:val="List Bullet 2"/>
    <w:basedOn w:val="Normal"/>
    <w:uiPriority w:val="99"/>
    <w:unhideWhenUsed/>
    <w:rsid w:val="00326F90"/>
    <w:pPr>
      <w:numPr>
        <w:numId w:val="2"/>
      </w:numPr>
      <w:spacing w:after="80" w:line="293" w:lineRule="auto"/>
      <w:contextualSpacing/>
    </w:pPr>
    <w:rPr>
      <w:rFonts w:ascii="Aptos" w:hAnsi="Aptos" w:eastAsia="Microsoft YaHe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3" w:lineRule="auto"/>
      <w:contextualSpacing/>
    </w:pPr>
    <w:rPr>
      <w:rFonts w:ascii="Aptos" w:hAnsi="Aptos"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eastAsia="Microsoft YaHei"/>
      <w:b/>
      <w:bCs/>
      <w:i w:val="0"/>
      <w:color w:val="46464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yperlink" Target="https://invensense.tdk.com/wp-content/uploads/2015/02/MPU-6000-Datasheet.pdf" TargetMode="External"/><Relationship Id="rId21" Type="http://schemas.openxmlformats.org/officeDocument/2006/relationships/hyperlink" Target="https://doi.org/10.20858/sjsutst.2022.117.9" TargetMode="External"/><Relationship Id="rId22" Type="http://schemas.openxmlformats.org/officeDocument/2006/relationships/hyperlink" Target="https://doi.org/10.1108/SR-12-2020-0309" TargetMode="External"/><Relationship Id="rId23" Type="http://schemas.openxmlformats.org/officeDocument/2006/relationships/hyperlink" Target="https://doi.org/10.1109/ICRA.2014.6907297" TargetMode="External"/><Relationship Id="rId24" Type="http://schemas.openxmlformats.org/officeDocument/2006/relationships/hyperlink" Target="https://doi.org/10.3390/s23177609" TargetMode="External"/><Relationship Id="rId25" Type="http://schemas.openxmlformats.org/officeDocument/2006/relationships/hyperlink" Target="https://doi.org/10.3390/electronics15143043" TargetMode="External"/><Relationship Id="rId26" Type="http://schemas.openxmlformats.org/officeDocument/2006/relationships/hyperlink" Target="https://doi.org/10.1109/MAES.2014.1301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MPU6050 温度补偿与 24 位置加速度计标定总结</dc:title>
  <dc:subject>独立静止数据验证与公开文献对比</dc:subject>
  <dc:creator>低成本 GNSS IMU 导航项目</dc:creator>
  <cp:keywords>MPU6050, 温度补偿, 24位置标定, INS, MEMS, 加速度计</cp:keywords>
  <dc:description>generated by python-docx</dc:description>
  <cp:lastModifiedBy/>
  <cp:revision>1</cp:revision>
  <dcterms:created xsi:type="dcterms:W3CDTF">2013-12-23T23:15:00Z</dcterms:created>
  <dcterms:modified xsi:type="dcterms:W3CDTF">2013-12-23T23:15:00Z</dcterms:modified>
  <cp:category/>
</cp:coreProperties>
</file>