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8"/>
        </w:rPr>
        <w:t>MERRA-2数据介绍及近地面PM₁₀数据构建方法</w:t>
      </w:r>
    </w:p>
    <w:p>
      <w:pPr>
        <w:ind w:firstLine="0"/>
        <w:jc w:val="center"/>
      </w:pPr>
      <w:r>
        <w:rPr>
          <w:b w:val="0"/>
          <w:sz w:val="20"/>
        </w:rPr>
        <w:t>数据介绍与处理方法整合稿｜2026年10月21日</w:t>
      </w:r>
    </w:p>
    <w:p>
      <w:pPr>
        <w:pStyle w:val="Heading1"/>
      </w:pPr>
      <w:r>
        <w:t>1  数据介绍与选择依据</w:t>
      </w:r>
    </w:p>
    <w:p>
      <w:r>
        <w:rPr>
          <w:b w:val="0"/>
        </w:rPr>
        <w:t>本研究以MERRA-2气溶胶再分析资料为基础，构建研究区域近地面PM₁₀数据，为后续城市或监测站提取及地面观测比较提供统一的数据来源。所选资料需要同时具备可用于颗粒物估算的组分变量、近地面垂直信息，以及支持多年和跨区域分析的时空覆盖。基于上述要求，本阶段采用M2I3NVAER 5.12.4产品，获取所需区域和第72模式层数据，并保留原始水平网格与3小时时次。</w:t>
      </w:r>
    </w:p>
    <w:p>
      <w:pPr>
        <w:pStyle w:val="Heading2"/>
      </w:pPr>
      <w:r>
        <w:t>1.1 数据来源与基本性质</w:t>
      </w:r>
    </w:p>
    <w:p>
      <w:r>
        <w:rPr>
          <w:b w:val="0"/>
        </w:rPr>
        <w:t>MERRA-2（Modern-Era Retrospective Analysis for Research and Applications, Version 2）是美国国家航空航天局（NASA）全球建模与同化办公室（GMAO）开发的第二代现代时期研究与应用回顾分析资料，由Goddard Earth Observing System（GEOS）模式及资料同化系统生成，并通过NASA Goddard Earth Sciences Data and Information Services Center（GES DISC）提供访问与分发[1—3]。</w:t>
      </w:r>
    </w:p>
    <w:p>
      <w:r>
        <w:rPr>
          <w:b w:val="0"/>
        </w:rPr>
        <w:t>MERRA-2通过数值模式与观测约束形成连续的大气和气溶胶场，其长期、统一的覆盖有利于在不同区域采用一致的数据和处理方案。该资料提供硫酸盐、黑碳、有机碳、沙尘及海盐等组分信息，使本研究能够在统一网格上从组分质量混合比出发估算近地面颗粒物浓度。与此同时，再分析值具有模式网格的空间代表尺度，不能直接视为单个地面监测站的测量结果[2—3]。</w:t>
      </w:r>
    </w:p>
    <w:p>
      <w:pPr>
        <w:pStyle w:val="Heading2"/>
      </w:pPr>
      <w:r>
        <w:t>1.2 所用产品及其时空特征</w:t>
      </w:r>
    </w:p>
    <w:p>
      <w:r>
        <w:rPr>
          <w:b w:val="0"/>
        </w:rPr>
        <w:t>本研究采用的具体产品为M2I3NVAER 5.12.4，对应文件标识inst3_3d_aer_Nv，属于三维、3小时、瞬时、模式层气溶胶质量混合比产品。选用该产品的直接原因，是其可在同一时空坐标下提供所需气溶胶组分和空气密度，并允许提取底部模式层，为后续近地面PM₁₀估算提供相互对应的输入。产品关键信息见表1，水平网格间距按“经度×纬度”列示[1]。</w:t>
      </w:r>
    </w:p>
    <w:p>
      <w:pPr>
        <w:pStyle w:val="Caption"/>
        <w:keepNext/>
        <w:jc w:val="center"/>
      </w:pPr>
      <w:r>
        <w:t>表1  M2I3NVAER产品的主要信息</w:t>
      </w:r>
    </w:p>
    <w:tbl>
      <w:tblPr>
        <w:tblStyle w:val="TableGrid"/>
        <w:tblW w:type="auto" w:w="0"/>
        <w:tblLayout w:type="fixed"/>
        <w:tblLook w:firstColumn="1" w:firstRow="1" w:lastColumn="0" w:lastRow="0" w:noHBand="0" w:noVBand="1" w:val="04A0"/>
      </w:tblPr>
      <w:tblGrid>
        <w:gridCol w:w="2268"/>
        <w:gridCol w:w="6803"/>
      </w:tblGrid>
      <w:tr>
        <w:trPr>
          <w:tblHeader/>
          <w:cantSplit/>
        </w:trPr>
        <w:tc>
          <w:tcPr>
            <w:tcW w:type="dxa" w:w="2268"/>
            <w:shd w:fill="EAEFF4"/>
          </w:tcPr>
          <w:p>
            <w:pPr>
              <w:keepNext/>
              <w:spacing w:line="276" w:lineRule="auto" w:after="80" w:before="80"/>
              <w:ind w:firstLine="0"/>
            </w:pPr>
            <w:r>
              <w:rPr>
                <w:b/>
                <w:sz w:val="19"/>
              </w:rPr>
              <w:t>项目</w:t>
            </w:r>
          </w:p>
        </w:tc>
        <w:tc>
          <w:tcPr>
            <w:tcW w:type="dxa" w:w="6803"/>
            <w:shd w:fill="EAEFF4"/>
          </w:tcPr>
          <w:p>
            <w:pPr>
              <w:keepNext/>
              <w:spacing w:line="276" w:lineRule="auto" w:after="80" w:before="80"/>
              <w:ind w:firstLine="0"/>
            </w:pPr>
            <w:r>
              <w:rPr>
                <w:b/>
                <w:sz w:val="19"/>
              </w:rPr>
              <w:t>详细信息</w:t>
            </w:r>
          </w:p>
        </w:tc>
      </w:tr>
      <w:tr>
        <w:trPr>
          <w:cantSplit/>
        </w:trPr>
        <w:tc>
          <w:tcPr>
            <w:tcW w:type="dxa" w:w="2268"/>
          </w:tcPr>
          <w:p>
            <w:pPr>
              <w:keepNext/>
              <w:spacing w:line="276" w:lineRule="auto" w:after="80" w:before="80"/>
              <w:ind w:firstLine="0"/>
            </w:pPr>
            <w:r>
              <w:rPr>
                <w:b w:val="0"/>
                <w:sz w:val="19"/>
              </w:rPr>
              <w:t>产品简称／版本</w:t>
            </w:r>
          </w:p>
        </w:tc>
        <w:tc>
          <w:tcPr>
            <w:tcW w:type="dxa" w:w="6803"/>
          </w:tcPr>
          <w:p>
            <w:pPr>
              <w:keepNext/>
              <w:spacing w:line="276" w:lineRule="auto" w:after="80" w:before="80"/>
              <w:ind w:firstLine="0"/>
            </w:pPr>
            <w:r>
              <w:rPr>
                <w:b w:val="0"/>
                <w:sz w:val="19"/>
              </w:rPr>
              <w:t>M2I3NVAER／5.12.4</w:t>
            </w:r>
          </w:p>
        </w:tc>
      </w:tr>
      <w:tr>
        <w:trPr>
          <w:cantSplit/>
        </w:trPr>
        <w:tc>
          <w:tcPr>
            <w:tcW w:type="dxa" w:w="2268"/>
          </w:tcPr>
          <w:p>
            <w:pPr>
              <w:keepNext/>
              <w:spacing w:line="276" w:lineRule="auto" w:after="80" w:before="80"/>
              <w:ind w:firstLine="0"/>
            </w:pPr>
            <w:r>
              <w:rPr>
                <w:b w:val="0"/>
                <w:sz w:val="19"/>
              </w:rPr>
              <w:t>文件产品标识</w:t>
            </w:r>
          </w:p>
        </w:tc>
        <w:tc>
          <w:tcPr>
            <w:tcW w:type="dxa" w:w="6803"/>
          </w:tcPr>
          <w:p>
            <w:pPr>
              <w:keepNext/>
              <w:spacing w:line="276" w:lineRule="auto" w:after="80" w:before="80"/>
              <w:ind w:firstLine="0"/>
            </w:pPr>
            <w:r>
              <w:rPr>
                <w:b w:val="0"/>
                <w:sz w:val="19"/>
              </w:rPr>
              <w:t>inst3_3d_aer_Nv</w:t>
            </w:r>
          </w:p>
        </w:tc>
      </w:tr>
      <w:tr>
        <w:trPr>
          <w:cantSplit/>
        </w:trPr>
        <w:tc>
          <w:tcPr>
            <w:tcW w:type="dxa" w:w="2268"/>
          </w:tcPr>
          <w:p>
            <w:pPr>
              <w:keepNext/>
              <w:spacing w:line="276" w:lineRule="auto" w:after="80" w:before="80"/>
              <w:ind w:firstLine="0"/>
            </w:pPr>
            <w:r>
              <w:rPr>
                <w:b w:val="0"/>
                <w:sz w:val="19"/>
              </w:rPr>
              <w:t>CMR集合编号</w:t>
            </w:r>
          </w:p>
        </w:tc>
        <w:tc>
          <w:tcPr>
            <w:tcW w:type="dxa" w:w="6803"/>
          </w:tcPr>
          <w:p>
            <w:pPr>
              <w:keepNext/>
              <w:spacing w:line="276" w:lineRule="auto" w:after="80" w:before="80"/>
              <w:ind w:firstLine="0"/>
            </w:pPr>
            <w:r>
              <w:rPr>
                <w:b w:val="0"/>
                <w:sz w:val="19"/>
              </w:rPr>
              <w:t>C1276812882-GES_DISC，用于对应实际请求的数据集合</w:t>
            </w:r>
          </w:p>
        </w:tc>
      </w:tr>
      <w:tr>
        <w:trPr>
          <w:cantSplit/>
        </w:trPr>
        <w:tc>
          <w:tcPr>
            <w:tcW w:type="dxa" w:w="2268"/>
          </w:tcPr>
          <w:p>
            <w:pPr>
              <w:keepNext/>
              <w:spacing w:line="276" w:lineRule="auto" w:after="80" w:before="80"/>
              <w:ind w:firstLine="0"/>
            </w:pPr>
            <w:r>
              <w:rPr>
                <w:b w:val="0"/>
                <w:sz w:val="19"/>
              </w:rPr>
              <w:t>主要物理量</w:t>
            </w:r>
          </w:p>
        </w:tc>
        <w:tc>
          <w:tcPr>
            <w:tcW w:type="dxa" w:w="6803"/>
          </w:tcPr>
          <w:p>
            <w:pPr>
              <w:keepNext/>
              <w:spacing w:line="276" w:lineRule="auto" w:after="80" w:before="80"/>
              <w:ind w:firstLine="0"/>
            </w:pPr>
            <w:r>
              <w:rPr>
                <w:b w:val="0"/>
                <w:sz w:val="19"/>
              </w:rPr>
              <w:t>气溶胶组分质量混合比及相关状态变量</w:t>
            </w:r>
          </w:p>
        </w:tc>
      </w:tr>
      <w:tr>
        <w:trPr>
          <w:cantSplit/>
        </w:trPr>
        <w:tc>
          <w:tcPr>
            <w:tcW w:type="dxa" w:w="2268"/>
          </w:tcPr>
          <w:p>
            <w:pPr>
              <w:keepNext/>
              <w:spacing w:line="276" w:lineRule="auto" w:after="80" w:before="80"/>
              <w:ind w:firstLine="0"/>
            </w:pPr>
            <w:r>
              <w:rPr>
                <w:b w:val="0"/>
                <w:sz w:val="19"/>
              </w:rPr>
              <w:t>产品时间覆盖</w:t>
            </w:r>
          </w:p>
        </w:tc>
        <w:tc>
          <w:tcPr>
            <w:tcW w:type="dxa" w:w="6803"/>
          </w:tcPr>
          <w:p>
            <w:pPr>
              <w:keepNext/>
              <w:spacing w:line="276" w:lineRule="auto" w:after="80" w:before="80"/>
              <w:ind w:firstLine="0"/>
            </w:pPr>
            <w:r>
              <w:rPr>
                <w:b w:val="0"/>
                <w:sz w:val="19"/>
              </w:rPr>
              <w:t>自1980年起；最新可用日期随数据发布更新</w:t>
            </w:r>
          </w:p>
        </w:tc>
      </w:tr>
      <w:tr>
        <w:trPr>
          <w:cantSplit/>
        </w:trPr>
        <w:tc>
          <w:tcPr>
            <w:tcW w:type="dxa" w:w="2268"/>
          </w:tcPr>
          <w:p>
            <w:pPr>
              <w:keepNext/>
              <w:spacing w:line="276" w:lineRule="auto" w:after="80" w:before="80"/>
              <w:ind w:firstLine="0"/>
            </w:pPr>
            <w:r>
              <w:rPr>
                <w:b w:val="0"/>
                <w:sz w:val="19"/>
              </w:rPr>
              <w:t>时间分辨率与性质</w:t>
            </w:r>
          </w:p>
        </w:tc>
        <w:tc>
          <w:tcPr>
            <w:tcW w:type="dxa" w:w="6803"/>
          </w:tcPr>
          <w:p>
            <w:pPr>
              <w:keepNext/>
              <w:spacing w:line="276" w:lineRule="auto" w:after="80" w:before="80"/>
              <w:ind w:firstLine="0"/>
            </w:pPr>
            <w:r>
              <w:rPr>
                <w:b w:val="0"/>
                <w:sz w:val="19"/>
              </w:rPr>
              <w:t>3小时瞬时值，每日8个时次</w:t>
            </w:r>
          </w:p>
        </w:tc>
      </w:tr>
      <w:tr>
        <w:trPr>
          <w:cantSplit/>
        </w:trPr>
        <w:tc>
          <w:tcPr>
            <w:tcW w:type="dxa" w:w="2268"/>
          </w:tcPr>
          <w:p>
            <w:pPr>
              <w:keepNext/>
              <w:spacing w:line="276" w:lineRule="auto" w:after="80" w:before="80"/>
              <w:ind w:firstLine="0"/>
            </w:pPr>
            <w:r>
              <w:rPr>
                <w:b w:val="0"/>
                <w:sz w:val="19"/>
              </w:rPr>
              <w:t>每日UTC时次</w:t>
            </w:r>
          </w:p>
        </w:tc>
        <w:tc>
          <w:tcPr>
            <w:tcW w:type="dxa" w:w="6803"/>
          </w:tcPr>
          <w:p>
            <w:pPr>
              <w:keepNext/>
              <w:spacing w:line="276" w:lineRule="auto" w:after="80" w:before="80"/>
              <w:ind w:firstLine="0"/>
            </w:pPr>
            <w:r>
              <w:rPr>
                <w:b w:val="0"/>
                <w:sz w:val="19"/>
              </w:rPr>
              <w:t>00、03、06、09、12、15、18、21时</w:t>
            </w:r>
          </w:p>
        </w:tc>
      </w:tr>
      <w:tr>
        <w:trPr>
          <w:cantSplit/>
        </w:trPr>
        <w:tc>
          <w:tcPr>
            <w:tcW w:type="dxa" w:w="2268"/>
          </w:tcPr>
          <w:p>
            <w:pPr>
              <w:keepNext/>
              <w:spacing w:line="276" w:lineRule="auto" w:after="80" w:before="80"/>
              <w:ind w:firstLine="0"/>
            </w:pPr>
            <w:r>
              <w:rPr>
                <w:b w:val="0"/>
                <w:sz w:val="19"/>
              </w:rPr>
              <w:t>空间覆盖</w:t>
            </w:r>
          </w:p>
        </w:tc>
        <w:tc>
          <w:tcPr>
            <w:tcW w:type="dxa" w:w="6803"/>
          </w:tcPr>
          <w:p>
            <w:pPr>
              <w:keepNext/>
              <w:spacing w:line="276" w:lineRule="auto" w:after="80" w:before="80"/>
              <w:ind w:firstLine="0"/>
            </w:pPr>
            <w:r>
              <w:rPr>
                <w:b w:val="0"/>
                <w:sz w:val="19"/>
              </w:rPr>
              <w:t>全球规则经纬度网格</w:t>
            </w:r>
          </w:p>
        </w:tc>
      </w:tr>
      <w:tr>
        <w:trPr>
          <w:cantSplit/>
        </w:trPr>
        <w:tc>
          <w:tcPr>
            <w:tcW w:type="dxa" w:w="2268"/>
          </w:tcPr>
          <w:p>
            <w:pPr>
              <w:keepNext/>
              <w:spacing w:line="276" w:lineRule="auto" w:after="80" w:before="80"/>
              <w:ind w:firstLine="0"/>
            </w:pPr>
            <w:r>
              <w:rPr>
                <w:b w:val="0"/>
                <w:sz w:val="19"/>
              </w:rPr>
              <w:t>水平网格间距</w:t>
            </w:r>
          </w:p>
        </w:tc>
        <w:tc>
          <w:tcPr>
            <w:tcW w:type="dxa" w:w="6803"/>
          </w:tcPr>
          <w:p>
            <w:pPr>
              <w:keepNext/>
              <w:spacing w:line="276" w:lineRule="auto" w:after="80" w:before="80"/>
              <w:ind w:firstLine="0"/>
            </w:pPr>
            <w:r>
              <w:rPr>
                <w:b w:val="0"/>
                <w:sz w:val="19"/>
              </w:rPr>
              <w:t>经度0.625° × 纬度0.5°</w:t>
            </w:r>
          </w:p>
        </w:tc>
      </w:tr>
      <w:tr>
        <w:trPr>
          <w:cantSplit/>
        </w:trPr>
        <w:tc>
          <w:tcPr>
            <w:tcW w:type="dxa" w:w="2268"/>
          </w:tcPr>
          <w:p>
            <w:pPr>
              <w:keepNext/>
              <w:spacing w:line="276" w:lineRule="auto" w:after="80" w:before="80"/>
              <w:ind w:firstLine="0"/>
            </w:pPr>
            <w:r>
              <w:rPr>
                <w:b w:val="0"/>
                <w:sz w:val="19"/>
              </w:rPr>
              <w:t>全球水平网格数</w:t>
            </w:r>
          </w:p>
        </w:tc>
        <w:tc>
          <w:tcPr>
            <w:tcW w:type="dxa" w:w="6803"/>
          </w:tcPr>
          <w:p>
            <w:pPr>
              <w:keepNext/>
              <w:spacing w:line="276" w:lineRule="auto" w:after="80" w:before="80"/>
              <w:ind w:firstLine="0"/>
            </w:pPr>
            <w:r>
              <w:rPr>
                <w:b w:val="0"/>
                <w:sz w:val="19"/>
              </w:rPr>
              <w:t>576个经度格点 × 361个纬度格点；区域子集另计</w:t>
            </w:r>
          </w:p>
        </w:tc>
      </w:tr>
      <w:tr>
        <w:trPr>
          <w:cantSplit/>
        </w:trPr>
        <w:tc>
          <w:tcPr>
            <w:tcW w:type="dxa" w:w="2268"/>
          </w:tcPr>
          <w:p>
            <w:pPr>
              <w:keepNext/>
              <w:spacing w:line="276" w:lineRule="auto" w:after="80" w:before="80"/>
              <w:ind w:firstLine="0"/>
            </w:pPr>
            <w:r>
              <w:rPr>
                <w:b w:val="0"/>
                <w:sz w:val="19"/>
              </w:rPr>
              <w:t>垂直坐标</w:t>
            </w:r>
          </w:p>
        </w:tc>
        <w:tc>
          <w:tcPr>
            <w:tcW w:type="dxa" w:w="6803"/>
          </w:tcPr>
          <w:p>
            <w:pPr>
              <w:keepNext/>
              <w:spacing w:line="276" w:lineRule="auto" w:after="80" w:before="80"/>
              <w:ind w:firstLine="0"/>
            </w:pPr>
            <w:r>
              <w:rPr>
                <w:b w:val="0"/>
                <w:sz w:val="19"/>
              </w:rPr>
              <w:t>72个模式层；第1层位于顶部，第72层最接近地面</w:t>
            </w:r>
          </w:p>
        </w:tc>
      </w:tr>
      <w:tr>
        <w:trPr>
          <w:cantSplit/>
        </w:trPr>
        <w:tc>
          <w:tcPr>
            <w:tcW w:type="dxa" w:w="2268"/>
          </w:tcPr>
          <w:p>
            <w:pPr>
              <w:keepNext/>
              <w:spacing w:line="276" w:lineRule="auto" w:after="80" w:before="80"/>
              <w:ind w:firstLine="0"/>
            </w:pPr>
            <w:r>
              <w:rPr>
                <w:b w:val="0"/>
                <w:sz w:val="19"/>
              </w:rPr>
              <w:t>文件组织与格式</w:t>
            </w:r>
          </w:p>
        </w:tc>
        <w:tc>
          <w:tcPr>
            <w:tcW w:type="dxa" w:w="6803"/>
          </w:tcPr>
          <w:p>
            <w:pPr>
              <w:keepNext/>
              <w:spacing w:line="276" w:lineRule="auto" w:after="80" w:before="80"/>
              <w:ind w:firstLine="0"/>
            </w:pPr>
            <w:r>
              <w:rPr>
                <w:b w:val="0"/>
                <w:sz w:val="19"/>
              </w:rPr>
              <w:t>通常按日组织；NetCDF4，扩展名通常为.nc4</w:t>
            </w:r>
          </w:p>
        </w:tc>
      </w:tr>
      <w:tr>
        <w:trPr>
          <w:cantSplit/>
        </w:trPr>
        <w:tc>
          <w:tcPr>
            <w:tcW w:type="dxa" w:w="2268"/>
          </w:tcPr>
          <w:p>
            <w:pPr>
              <w:keepNext w:val="0"/>
              <w:spacing w:line="276" w:lineRule="auto" w:after="80" w:before="80"/>
              <w:ind w:firstLine="0"/>
            </w:pPr>
            <w:r>
              <w:rPr>
                <w:b w:val="0"/>
                <w:sz w:val="19"/>
              </w:rPr>
              <w:t>产品DOI</w:t>
            </w:r>
          </w:p>
        </w:tc>
        <w:tc>
          <w:tcPr>
            <w:tcW w:type="dxa" w:w="6803"/>
          </w:tcPr>
          <w:p>
            <w:pPr>
              <w:keepNext w:val="0"/>
              <w:spacing w:line="276" w:lineRule="auto" w:after="80" w:before="80"/>
              <w:ind w:firstLine="0"/>
            </w:pPr>
            <w:r>
              <w:rPr>
                <w:b w:val="0"/>
                <w:sz w:val="19"/>
              </w:rPr>
              <w:t>10.5067/LTVB4GPCOTK2</w:t>
            </w:r>
          </w:p>
        </w:tc>
      </w:tr>
    </w:tbl>
    <w:p>
      <w:r>
        <w:rPr>
          <w:b w:val="0"/>
        </w:rPr>
        <w:t>使用该产品时，需区分网格、时次和模式层各自的物理含义。水平间距以经纬度表示，不等同于各纬度上相同的公里距离；每个3小时时次为瞬时场，不代表相邻3小时的平均状态；第72层为最接近地面的底部模式层，不是固定离地高度或固定气压面。产品时间覆盖自1980年起，但存在发布滞后，实际截止时间以NASA目录可用记录为准。</w:t>
      </w:r>
    </w:p>
    <w:p>
      <w:pPr>
        <w:pStyle w:val="Heading2"/>
      </w:pPr>
      <w:r>
        <w:t>1.3 本研究选取的变量与范围</w:t>
      </w:r>
    </w:p>
    <w:p>
      <w:r>
        <w:rPr>
          <w:b w:val="0"/>
        </w:rPr>
        <w:t>本研究从第72模式层选取14个变量，其中13个为所需气溶胶组分质量混合比，另1个为空气密度AIRDENS。变量集合与后续采用的组分估算方案对应，并非该产品的全部变量。质量混合比的单位为kg kg⁻¹，表示单位质量空气中的相应组分质量；只有与空气密度等信息结合并完成单位换算后，才能得到单位体积空气中的颗粒物质量浓度。表2列出实际请求的变量。其组分权重和具体换算公式见第2.4节。</w:t>
      </w:r>
    </w:p>
    <w:p>
      <w:pPr>
        <w:pStyle w:val="Caption"/>
        <w:keepNext/>
        <w:jc w:val="center"/>
      </w:pPr>
      <w:r>
        <w:t>表2  本研究获取的14个变量</w:t>
      </w:r>
    </w:p>
    <w:tbl>
      <w:tblPr>
        <w:tblStyle w:val="TableGrid"/>
        <w:tblW w:type="auto" w:w="0"/>
        <w:tblLayout w:type="fixed"/>
        <w:tblLook w:firstColumn="1" w:firstRow="1" w:lastColumn="0" w:lastRow="0" w:noHBand="0" w:noVBand="1" w:val="04A0"/>
      </w:tblPr>
      <w:tblGrid>
        <w:gridCol w:w="3288"/>
        <w:gridCol w:w="4422"/>
        <w:gridCol w:w="1361"/>
      </w:tblGrid>
      <w:tr>
        <w:trPr>
          <w:tblHeader/>
          <w:cantSplit/>
        </w:trPr>
        <w:tc>
          <w:tcPr>
            <w:tcW w:type="dxa" w:w="3288"/>
            <w:shd w:fill="EAEFF4"/>
          </w:tcPr>
          <w:p>
            <w:pPr>
              <w:keepNext/>
              <w:spacing w:line="276" w:lineRule="auto" w:after="80" w:before="80"/>
              <w:ind w:firstLine="0"/>
            </w:pPr>
            <w:r>
              <w:rPr>
                <w:b/>
                <w:sz w:val="19"/>
              </w:rPr>
              <w:t>变量名称</w:t>
            </w:r>
          </w:p>
        </w:tc>
        <w:tc>
          <w:tcPr>
            <w:tcW w:type="dxa" w:w="4422"/>
            <w:shd w:fill="EAEFF4"/>
          </w:tcPr>
          <w:p>
            <w:pPr>
              <w:keepNext/>
              <w:spacing w:line="276" w:lineRule="auto" w:after="80" w:before="80"/>
              <w:ind w:firstLine="0"/>
            </w:pPr>
            <w:r>
              <w:rPr>
                <w:b/>
                <w:sz w:val="19"/>
              </w:rPr>
              <w:t>物理含义</w:t>
            </w:r>
          </w:p>
        </w:tc>
        <w:tc>
          <w:tcPr>
            <w:tcW w:type="dxa" w:w="1361"/>
            <w:shd w:fill="EAEFF4"/>
          </w:tcPr>
          <w:p>
            <w:pPr>
              <w:keepNext/>
              <w:spacing w:line="276" w:lineRule="auto" w:after="80" w:before="80"/>
              <w:ind w:firstLine="0"/>
            </w:pPr>
            <w:r>
              <w:rPr>
                <w:b/>
                <w:sz w:val="19"/>
              </w:rPr>
              <w:t>单位</w:t>
            </w:r>
          </w:p>
        </w:tc>
      </w:tr>
      <w:tr>
        <w:trPr>
          <w:cantSplit/>
        </w:trPr>
        <w:tc>
          <w:tcPr>
            <w:tcW w:type="dxa" w:w="3288"/>
          </w:tcPr>
          <w:p>
            <w:pPr>
              <w:keepNext/>
              <w:spacing w:line="276" w:lineRule="auto" w:after="80" w:before="80"/>
              <w:ind w:firstLine="0"/>
            </w:pPr>
            <w:r>
              <w:rPr>
                <w:b w:val="0"/>
                <w:sz w:val="19"/>
              </w:rPr>
              <w:t>AIRDENS</w:t>
            </w:r>
          </w:p>
        </w:tc>
        <w:tc>
          <w:tcPr>
            <w:tcW w:type="dxa" w:w="4422"/>
          </w:tcPr>
          <w:p>
            <w:pPr>
              <w:keepNext/>
              <w:spacing w:line="276" w:lineRule="auto" w:after="80" w:before="80"/>
              <w:ind w:firstLine="0"/>
            </w:pPr>
            <w:r>
              <w:rPr>
                <w:b w:val="0"/>
                <w:sz w:val="19"/>
              </w:rPr>
              <w:t>空气密度</w:t>
            </w:r>
          </w:p>
        </w:tc>
        <w:tc>
          <w:tcPr>
            <w:tcW w:type="dxa" w:w="1361"/>
          </w:tcPr>
          <w:p>
            <w:pPr>
              <w:keepNext/>
              <w:spacing w:line="276" w:lineRule="auto" w:after="80" w:before="80"/>
              <w:ind w:firstLine="0"/>
            </w:pPr>
            <w:r>
              <w:rPr>
                <w:b w:val="0"/>
                <w:sz w:val="19"/>
              </w:rPr>
              <w:t>kg m⁻³</w:t>
            </w:r>
          </w:p>
        </w:tc>
      </w:tr>
      <w:tr>
        <w:trPr>
          <w:cantSplit/>
        </w:trPr>
        <w:tc>
          <w:tcPr>
            <w:tcW w:type="dxa" w:w="3288"/>
          </w:tcPr>
          <w:p>
            <w:pPr>
              <w:keepNext/>
              <w:spacing w:line="276" w:lineRule="auto" w:after="80" w:before="80"/>
              <w:ind w:firstLine="0"/>
            </w:pPr>
            <w:r>
              <w:rPr>
                <w:b w:val="0"/>
                <w:sz w:val="19"/>
              </w:rPr>
              <w:t>SO4</w:t>
            </w:r>
          </w:p>
        </w:tc>
        <w:tc>
          <w:tcPr>
            <w:tcW w:type="dxa" w:w="4422"/>
          </w:tcPr>
          <w:p>
            <w:pPr>
              <w:keepNext/>
              <w:spacing w:line="276" w:lineRule="auto" w:after="80" w:before="80"/>
              <w:ind w:firstLine="0"/>
            </w:pPr>
            <w:r>
              <w:rPr>
                <w:b w:val="0"/>
                <w:sz w:val="19"/>
              </w:rPr>
              <w:t>硫酸盐气溶胶质量混合比</w:t>
            </w:r>
          </w:p>
        </w:tc>
        <w:tc>
          <w:tcPr>
            <w:tcW w:type="dxa" w:w="1361"/>
          </w:tcPr>
          <w:p>
            <w:pPr>
              <w:keepNext/>
              <w:spacing w:line="276" w:lineRule="auto" w:after="80" w:before="80"/>
              <w:ind w:firstLine="0"/>
            </w:pPr>
            <w:r>
              <w:rPr>
                <w:b w:val="0"/>
                <w:sz w:val="19"/>
              </w:rPr>
              <w:t>kg kg⁻¹</w:t>
            </w:r>
          </w:p>
        </w:tc>
      </w:tr>
      <w:tr>
        <w:trPr>
          <w:cantSplit/>
        </w:trPr>
        <w:tc>
          <w:tcPr>
            <w:tcW w:type="dxa" w:w="3288"/>
          </w:tcPr>
          <w:p>
            <w:pPr>
              <w:keepNext/>
              <w:spacing w:line="276" w:lineRule="auto" w:after="80" w:before="80"/>
              <w:ind w:firstLine="0"/>
            </w:pPr>
            <w:r>
              <w:rPr>
                <w:b w:val="0"/>
                <w:sz w:val="19"/>
              </w:rPr>
              <w:t>BCPHOBIC、BCPHILIC</w:t>
            </w:r>
          </w:p>
        </w:tc>
        <w:tc>
          <w:tcPr>
            <w:tcW w:type="dxa" w:w="4422"/>
          </w:tcPr>
          <w:p>
            <w:pPr>
              <w:keepNext/>
              <w:spacing w:line="276" w:lineRule="auto" w:after="80" w:before="80"/>
              <w:ind w:firstLine="0"/>
            </w:pPr>
            <w:r>
              <w:rPr>
                <w:b w:val="0"/>
                <w:sz w:val="19"/>
              </w:rPr>
              <w:t>疏水性、亲水性黑碳质量混合比</w:t>
            </w:r>
          </w:p>
        </w:tc>
        <w:tc>
          <w:tcPr>
            <w:tcW w:type="dxa" w:w="1361"/>
          </w:tcPr>
          <w:p>
            <w:pPr>
              <w:keepNext/>
              <w:spacing w:line="276" w:lineRule="auto" w:after="80" w:before="80"/>
              <w:ind w:firstLine="0"/>
            </w:pPr>
            <w:r>
              <w:rPr>
                <w:b w:val="0"/>
                <w:sz w:val="19"/>
              </w:rPr>
              <w:t>kg kg⁻¹</w:t>
            </w:r>
          </w:p>
        </w:tc>
      </w:tr>
      <w:tr>
        <w:trPr>
          <w:cantSplit/>
        </w:trPr>
        <w:tc>
          <w:tcPr>
            <w:tcW w:type="dxa" w:w="3288"/>
          </w:tcPr>
          <w:p>
            <w:pPr>
              <w:keepNext/>
              <w:spacing w:line="276" w:lineRule="auto" w:after="80" w:before="80"/>
              <w:ind w:firstLine="0"/>
            </w:pPr>
            <w:r>
              <w:rPr>
                <w:b w:val="0"/>
                <w:sz w:val="19"/>
              </w:rPr>
              <w:t>OCPHOBIC、OCPHILIC</w:t>
            </w:r>
          </w:p>
        </w:tc>
        <w:tc>
          <w:tcPr>
            <w:tcW w:type="dxa" w:w="4422"/>
          </w:tcPr>
          <w:p>
            <w:pPr>
              <w:keepNext/>
              <w:spacing w:line="276" w:lineRule="auto" w:after="80" w:before="80"/>
              <w:ind w:firstLine="0"/>
            </w:pPr>
            <w:r>
              <w:rPr>
                <w:b w:val="0"/>
                <w:sz w:val="19"/>
              </w:rPr>
              <w:t>疏水性、亲水性有机碳质量混合比</w:t>
            </w:r>
          </w:p>
        </w:tc>
        <w:tc>
          <w:tcPr>
            <w:tcW w:type="dxa" w:w="1361"/>
          </w:tcPr>
          <w:p>
            <w:pPr>
              <w:keepNext/>
              <w:spacing w:line="276" w:lineRule="auto" w:after="80" w:before="80"/>
              <w:ind w:firstLine="0"/>
            </w:pPr>
            <w:r>
              <w:rPr>
                <w:b w:val="0"/>
                <w:sz w:val="19"/>
              </w:rPr>
              <w:t>kg kg⁻¹</w:t>
            </w:r>
          </w:p>
        </w:tc>
      </w:tr>
      <w:tr>
        <w:trPr>
          <w:cantSplit/>
        </w:trPr>
        <w:tc>
          <w:tcPr>
            <w:tcW w:type="dxa" w:w="3288"/>
          </w:tcPr>
          <w:p>
            <w:pPr>
              <w:keepNext/>
              <w:spacing w:line="276" w:lineRule="auto" w:after="80" w:before="80"/>
              <w:ind w:firstLine="0"/>
            </w:pPr>
            <w:r>
              <w:rPr>
                <w:b w:val="0"/>
                <w:sz w:val="19"/>
              </w:rPr>
              <w:t>DU001—DU004</w:t>
            </w:r>
          </w:p>
        </w:tc>
        <w:tc>
          <w:tcPr>
            <w:tcW w:type="dxa" w:w="4422"/>
          </w:tcPr>
          <w:p>
            <w:pPr>
              <w:keepNext/>
              <w:spacing w:line="276" w:lineRule="auto" w:after="80" w:before="80"/>
              <w:ind w:firstLine="0"/>
            </w:pPr>
            <w:r>
              <w:rPr>
                <w:b w:val="0"/>
                <w:sz w:val="19"/>
              </w:rPr>
              <w:t>第1至第4粒径档沙尘质量混合比</w:t>
            </w:r>
          </w:p>
        </w:tc>
        <w:tc>
          <w:tcPr>
            <w:tcW w:type="dxa" w:w="1361"/>
          </w:tcPr>
          <w:p>
            <w:pPr>
              <w:keepNext/>
              <w:spacing w:line="276" w:lineRule="auto" w:after="80" w:before="80"/>
              <w:ind w:firstLine="0"/>
            </w:pPr>
            <w:r>
              <w:rPr>
                <w:b w:val="0"/>
                <w:sz w:val="19"/>
              </w:rPr>
              <w:t>kg kg⁻¹</w:t>
            </w:r>
          </w:p>
        </w:tc>
      </w:tr>
      <w:tr>
        <w:trPr>
          <w:cantSplit/>
        </w:trPr>
        <w:tc>
          <w:tcPr>
            <w:tcW w:type="dxa" w:w="3288"/>
          </w:tcPr>
          <w:p>
            <w:pPr>
              <w:keepNext w:val="0"/>
              <w:spacing w:line="276" w:lineRule="auto" w:after="80" w:before="80"/>
              <w:ind w:firstLine="0"/>
            </w:pPr>
            <w:r>
              <w:rPr>
                <w:b w:val="0"/>
                <w:sz w:val="19"/>
              </w:rPr>
              <w:t>SS001—SS004</w:t>
            </w:r>
          </w:p>
        </w:tc>
        <w:tc>
          <w:tcPr>
            <w:tcW w:type="dxa" w:w="4422"/>
          </w:tcPr>
          <w:p>
            <w:pPr>
              <w:keepNext w:val="0"/>
              <w:spacing w:line="276" w:lineRule="auto" w:after="80" w:before="80"/>
              <w:ind w:firstLine="0"/>
            </w:pPr>
            <w:r>
              <w:rPr>
                <w:b w:val="0"/>
                <w:sz w:val="19"/>
              </w:rPr>
              <w:t>第1至第4粒径档海盐质量混合比</w:t>
            </w:r>
          </w:p>
        </w:tc>
        <w:tc>
          <w:tcPr>
            <w:tcW w:type="dxa" w:w="1361"/>
          </w:tcPr>
          <w:p>
            <w:pPr>
              <w:keepNext w:val="0"/>
              <w:spacing w:line="276" w:lineRule="auto" w:after="80" w:before="80"/>
              <w:ind w:firstLine="0"/>
            </w:pPr>
            <w:r>
              <w:rPr>
                <w:b w:val="0"/>
                <w:sz w:val="19"/>
              </w:rPr>
              <w:t>kg kg⁻¹</w:t>
            </w:r>
          </w:p>
        </w:tc>
      </w:tr>
    </w:tbl>
    <w:p>
      <w:r>
        <w:rPr>
          <w:b w:val="0"/>
        </w:rPr>
        <w:t>空间范围分为国内四省区和国外七国。国内为宁夏、新疆、甘肃和内蒙古；国外为蒙古国、哈萨克斯坦、吉尔吉斯斯坦、塔吉克斯坦、阿富汗、巴基斯坦和印度。国内区域采用geoBoundaries的CHN ADM1省级边界，国外采用Natural Earth v5.1.2的1:50m国家级边界，下载和计算沿用对应区域多边形[4—5]。具体范围以实际边界版本为准，边界文件和校验信息随任务保留。</w:t>
      </w:r>
    </w:p>
    <w:p>
      <w:r>
        <w:rPr>
          <w:b w:val="0"/>
        </w:rPr>
        <w:t>本阶段重点获取2015年至最新实际可用日期的数据，以衔接后续能够获得的地面观测资料；最终配对年段仍由观测有效覆盖决定。产品自1980年起的覆盖范围与本阶段重点下载范围分别记录，实际完成范围依据各地区、各年份的文件及运行记录确定。</w:t>
      </w:r>
    </w:p>
    <w:p>
      <w:pPr>
        <w:pStyle w:val="Heading1"/>
      </w:pPr>
      <w:r>
        <w:t>2  数据获取、PM₁₀计算与保存方法</w:t>
      </w:r>
    </w:p>
    <w:p>
      <w:r>
        <w:rPr>
          <w:b w:val="0"/>
        </w:rPr>
        <w:t>本研究采用“区域子集获取—原始日文件下载与校验—逐时次PM₁₀计算—年度结果组织”的处理路线。前两个环节获得并保存原始组分，后两个环节生成便于后续位置提取的派生浓度场。原始数据与派生结果分别保留，使下载、复算和城市／站点匹配能够独立检查和调整。</w:t>
      </w:r>
    </w:p>
    <w:p>
      <w:pPr>
        <w:ind w:firstLine="0"/>
        <w:jc w:val="center"/>
      </w:pPr>
      <w:r>
        <w:drawing>
          <wp:inline xmlns:a="http://schemas.openxmlformats.org/drawingml/2006/main" xmlns:pic="http://schemas.openxmlformats.org/drawingml/2006/picture">
            <wp:extent cx="5760000" cy="1020000"/>
            <wp:docPr id="1" name="Picture 1"/>
            <wp:cNvGraphicFramePr>
              <a:graphicFrameLocks noChangeAspect="1"/>
            </wp:cNvGraphicFramePr>
            <a:graphic>
              <a:graphicData uri="http://schemas.openxmlformats.org/drawingml/2006/picture">
                <pic:pic>
                  <pic:nvPicPr>
                    <pic:cNvPr id="0" name="data_processing_flow.png"/>
                    <pic:cNvPicPr/>
                  </pic:nvPicPr>
                  <pic:blipFill>
                    <a:blip r:embed="rId11"/>
                    <a:stretch>
                      <a:fillRect/>
                    </a:stretch>
                  </pic:blipFill>
                  <pic:spPr>
                    <a:xfrm>
                      <a:off x="0" y="0"/>
                      <a:ext cx="5760000" cy="1020000"/>
                    </a:xfrm>
                    <a:prstGeom prst="rect"/>
                  </pic:spPr>
                </pic:pic>
              </a:graphicData>
            </a:graphic>
          </wp:inline>
        </w:drawing>
      </w:r>
    </w:p>
    <w:p>
      <w:pPr>
        <w:pStyle w:val="Caption"/>
        <w:jc w:val="center"/>
      </w:pPr>
      <w:r>
        <w:t>图1  原始数据获取与年度PM₁₀构建流程</w:t>
      </w:r>
    </w:p>
    <w:p>
      <w:pPr>
        <w:pStyle w:val="Heading2"/>
      </w:pPr>
      <w:r>
        <w:t>2.1 区域子集请求与逐日链接获取</w:t>
      </w:r>
    </w:p>
    <w:p>
      <w:r>
        <w:rPr>
          <w:b w:val="0"/>
        </w:rPr>
        <w:t>数据通过NASA GES DISC获取，使用Earthdata Login账户认证，并按服务要求完成授权。Python程序调用Harmony子集服务，将研究多边形、年份范围、14个变量和lev=72一并作为请求条件。历史完整年请求1月1日00时至12月31日21时（UTC）；当前年份截至目录最新实际可用的完整日时次。子集方式在传输前限制区域和层次，减少全球三维资料中本研究不使用的部分。</w:t>
      </w:r>
    </w:p>
    <w:p>
      <w:r>
        <w:rPr>
          <w:b w:val="0"/>
        </w:rPr>
        <w:t>请求按处理区域和年份组织。NASA完成任务后提供逐日NetCDF结果链接，程序读取全部结果页，提取实体文件地址，经日期检查后写入年度TXT清单；同时在JSON中保存请求条件、任务编号、状态和有效期。TXT是下载地址集合，JSON是任务追溯记录，二者均不等于原始数值已经下载到本地。年代文件夹仅用于管理年度清单，不表示将十年资料合为一个文件或一个作业。</w:t>
      </w:r>
    </w:p>
    <w:p>
      <w:r>
        <w:rPr>
          <w:b w:val="0"/>
        </w:rPr>
        <w:t>完整性以实际请求范围为准：服务端任务成功结束后，仍需检查每日链接是否连续、有无重复、是否对应同一年及同一任务。部分成功的结果不能直接作为完整年度清单。对已成功任务优先恢复和复用；仅在结果过期、配置需要更新或确需重新处理时刷新相应任务。</w:t>
      </w:r>
    </w:p>
    <w:p>
      <w:pPr>
        <w:pStyle w:val="Heading2"/>
      </w:pPr>
      <w:r>
        <w:t>2.2 临时结果有效期与下载安排</w:t>
      </w:r>
    </w:p>
    <w:p>
      <w:r>
        <w:rPr>
          <w:b w:val="0"/>
        </w:rPr>
        <w:t>Harmony生成的是临时子集结果。任务返回的data_expiration表示该次结果在NASA端的保存截止时间，程序将其写入任务记录，并在生成清单后以UTC打印。到期约束针对这次子集结果的后续访问，不是MERRA-2原始资料的观测截止时间，也不是本地已下载文件的保存期限。不同任务应读取各自的有效期，不统一假定固定保存天数。</w:t>
      </w:r>
    </w:p>
    <w:p>
      <w:pPr>
        <w:pStyle w:val="Caption"/>
        <w:keepNext/>
        <w:jc w:val="center"/>
      </w:pPr>
      <w:r>
        <w:t>表3  三类时间信息及其用途</w:t>
      </w:r>
    </w:p>
    <w:tbl>
      <w:tblPr>
        <w:tblStyle w:val="TableGrid"/>
        <w:tblW w:type="auto" w:w="0"/>
        <w:tblLayout w:type="fixed"/>
        <w:tblLook w:firstColumn="1" w:firstRow="1" w:lastColumn="0" w:lastRow="0" w:noHBand="0" w:noVBand="1" w:val="04A0"/>
      </w:tblPr>
      <w:tblGrid>
        <w:gridCol w:w="2098"/>
        <w:gridCol w:w="3969"/>
        <w:gridCol w:w="3005"/>
      </w:tblGrid>
      <w:tr>
        <w:trPr>
          <w:tblHeader/>
          <w:cantSplit/>
        </w:trPr>
        <w:tc>
          <w:tcPr>
            <w:tcW w:type="dxa" w:w="2098"/>
            <w:shd w:fill="EAEFF4"/>
          </w:tcPr>
          <w:p>
            <w:pPr>
              <w:keepNext/>
              <w:spacing w:line="276" w:lineRule="auto" w:after="80" w:before="80"/>
              <w:ind w:firstLine="0"/>
            </w:pPr>
            <w:r>
              <w:rPr>
                <w:b/>
                <w:sz w:val="19"/>
              </w:rPr>
              <w:t>时间信息</w:t>
            </w:r>
          </w:p>
        </w:tc>
        <w:tc>
          <w:tcPr>
            <w:tcW w:type="dxa" w:w="3969"/>
            <w:shd w:fill="EAEFF4"/>
          </w:tcPr>
          <w:p>
            <w:pPr>
              <w:keepNext/>
              <w:spacing w:line="276" w:lineRule="auto" w:after="80" w:before="80"/>
              <w:ind w:firstLine="0"/>
            </w:pPr>
            <w:r>
              <w:rPr>
                <w:b/>
                <w:sz w:val="19"/>
              </w:rPr>
              <w:t>含义</w:t>
            </w:r>
          </w:p>
        </w:tc>
        <w:tc>
          <w:tcPr>
            <w:tcW w:type="dxa" w:w="3005"/>
            <w:shd w:fill="EAEFF4"/>
          </w:tcPr>
          <w:p>
            <w:pPr>
              <w:keepNext/>
              <w:spacing w:line="276" w:lineRule="auto" w:after="80" w:before="80"/>
              <w:ind w:firstLine="0"/>
            </w:pPr>
            <w:r>
              <w:rPr>
                <w:b/>
                <w:sz w:val="19"/>
              </w:rPr>
              <w:t>本项目记录</w:t>
            </w:r>
          </w:p>
        </w:tc>
      </w:tr>
      <w:tr>
        <w:trPr>
          <w:cantSplit/>
        </w:trPr>
        <w:tc>
          <w:tcPr>
            <w:tcW w:type="dxa" w:w="2098"/>
          </w:tcPr>
          <w:p>
            <w:pPr>
              <w:keepNext/>
              <w:spacing w:line="276" w:lineRule="auto" w:after="80" w:before="80"/>
              <w:ind w:firstLine="0"/>
            </w:pPr>
            <w:r>
              <w:rPr>
                <w:b w:val="0"/>
                <w:sz w:val="19"/>
              </w:rPr>
              <w:t>资料覆盖时间</w:t>
            </w:r>
          </w:p>
        </w:tc>
        <w:tc>
          <w:tcPr>
            <w:tcW w:type="dxa" w:w="3969"/>
          </w:tcPr>
          <w:p>
            <w:pPr>
              <w:keepNext/>
              <w:spacing w:line="276" w:lineRule="auto" w:after="80" w:before="80"/>
              <w:ind w:firstLine="0"/>
            </w:pPr>
            <w:r>
              <w:rPr>
                <w:b w:val="0"/>
                <w:sz w:val="19"/>
              </w:rPr>
              <w:t>本次请求所对应的大气状态时段</w:t>
            </w:r>
          </w:p>
        </w:tc>
        <w:tc>
          <w:tcPr>
            <w:tcW w:type="dxa" w:w="3005"/>
          </w:tcPr>
          <w:p>
            <w:pPr>
              <w:keepNext/>
              <w:spacing w:line="276" w:lineRule="auto" w:after="80" w:before="80"/>
              <w:ind w:firstLine="0"/>
            </w:pPr>
            <w:r>
              <w:rPr>
                <w:b w:val="0"/>
                <w:sz w:val="19"/>
              </w:rPr>
              <w:t>start、stop</w:t>
            </w:r>
          </w:p>
        </w:tc>
      </w:tr>
      <w:tr>
        <w:trPr>
          <w:cantSplit/>
        </w:trPr>
        <w:tc>
          <w:tcPr>
            <w:tcW w:type="dxa" w:w="2098"/>
          </w:tcPr>
          <w:p>
            <w:pPr>
              <w:keepNext/>
              <w:spacing w:line="276" w:lineRule="auto" w:after="80" w:before="80"/>
              <w:ind w:firstLine="0"/>
            </w:pPr>
            <w:r>
              <w:rPr>
                <w:b w:val="0"/>
                <w:sz w:val="19"/>
              </w:rPr>
              <w:t>清单写出时间</w:t>
            </w:r>
          </w:p>
        </w:tc>
        <w:tc>
          <w:tcPr>
            <w:tcW w:type="dxa" w:w="3969"/>
          </w:tcPr>
          <w:p>
            <w:pPr>
              <w:keepNext/>
              <w:spacing w:line="276" w:lineRule="auto" w:after="80" w:before="80"/>
              <w:ind w:firstLine="0"/>
            </w:pPr>
            <w:r>
              <w:rPr>
                <w:b w:val="0"/>
                <w:sz w:val="19"/>
              </w:rPr>
              <w:t>下载链接何时整理写入本地</w:t>
            </w:r>
          </w:p>
        </w:tc>
        <w:tc>
          <w:tcPr>
            <w:tcW w:type="dxa" w:w="3005"/>
          </w:tcPr>
          <w:p>
            <w:pPr>
              <w:keepNext/>
              <w:spacing w:line="276" w:lineRule="auto" w:after="80" w:before="80"/>
              <w:ind w:firstLine="0"/>
            </w:pPr>
            <w:r>
              <w:rPr>
                <w:b w:val="0"/>
                <w:sz w:val="19"/>
              </w:rPr>
              <w:t>links_written_utc</w:t>
            </w:r>
          </w:p>
        </w:tc>
      </w:tr>
      <w:tr>
        <w:trPr>
          <w:cantSplit/>
        </w:trPr>
        <w:tc>
          <w:tcPr>
            <w:tcW w:type="dxa" w:w="2098"/>
          </w:tcPr>
          <w:p>
            <w:pPr>
              <w:keepNext w:val="0"/>
              <w:spacing w:line="276" w:lineRule="auto" w:after="80" w:before="80"/>
              <w:ind w:firstLine="0"/>
            </w:pPr>
            <w:r>
              <w:rPr>
                <w:b w:val="0"/>
                <w:sz w:val="19"/>
              </w:rPr>
              <w:t>临时结果到期时间</w:t>
            </w:r>
          </w:p>
        </w:tc>
        <w:tc>
          <w:tcPr>
            <w:tcW w:type="dxa" w:w="3969"/>
          </w:tcPr>
          <w:p>
            <w:pPr>
              <w:keepNext w:val="0"/>
              <w:spacing w:line="276" w:lineRule="auto" w:after="80" w:before="80"/>
              <w:ind w:firstLine="0"/>
            </w:pPr>
            <w:r>
              <w:rPr>
                <w:b w:val="0"/>
                <w:sz w:val="19"/>
              </w:rPr>
              <w:t>NASA端本次子集结果的保存截止</w:t>
            </w:r>
          </w:p>
        </w:tc>
        <w:tc>
          <w:tcPr>
            <w:tcW w:type="dxa" w:w="3005"/>
          </w:tcPr>
          <w:p>
            <w:pPr>
              <w:keepNext w:val="0"/>
              <w:spacing w:line="276" w:lineRule="auto" w:after="80" w:before="80"/>
              <w:ind w:firstLine="0"/>
            </w:pPr>
            <w:r>
              <w:rPr>
                <w:b w:val="0"/>
                <w:sz w:val="19"/>
              </w:rPr>
              <w:t>data_expiration</w:t>
            </w:r>
          </w:p>
        </w:tc>
      </w:tr>
    </w:tbl>
    <w:p>
      <w:r>
        <w:rPr>
          <w:b w:val="0"/>
        </w:rPr>
        <w:t>以巴基斯坦2026年任务日志为例，打印的结果到期时间为2026-11-20 05:34:09.037 UTC，对应北京时间2026-11-20 13:34:09.037。该时间只用于安排这一任务结果的下载，不能套用到其他国家或年份，也不能据此推定2026年数据已经覆盖全年。具体截止仍以对应任务记录和NASA实时状态为准。</w:t>
      </w:r>
    </w:p>
    <w:p>
      <w:r>
        <w:rPr>
          <w:b w:val="0"/>
        </w:rPr>
        <w:t>因此，应在获取链接后及时完成实体文件下载。到期前尚未下载的部分应优先补齐；已过期且本地文件缺失时，查询或刷新相应任务结果后再下载。对已完整保存且校验通过的原始文件和PM₁₀结果，可继续离线使用，无需因链接到期而全部重下。任务记录和原清单仍保留用于追溯。</w:t>
      </w:r>
    </w:p>
    <w:p>
      <w:pPr>
        <w:pStyle w:val="Heading2"/>
      </w:pPr>
      <w:r>
        <w:t>2.3 原始日文件下载与校验</w:t>
      </w:r>
    </w:p>
    <w:p>
      <w:r>
        <w:rPr>
          <w:b w:val="0"/>
        </w:rPr>
        <w:t>下载程序读取本地年度清单，先检查是否已有合格缓存，仅获取缺失日文件。首次缺失文件串行完成认证，随后并发下载；账号密码在每次运行中输入一次并复用。并发主要减少网络等待，不能据此假定计算过程也进行了多线程或GPU加速。实际速度由网络、服务端和本地读写共同决定。</w:t>
      </w:r>
    </w:p>
    <w:p>
      <w:r>
        <w:rPr>
          <w:b w:val="0"/>
        </w:rPr>
        <w:t>校验分为文件完整性和内容一致性：前者结合传输长度、文件校验信息及NetCDF可读性判断文件是否完整，后者检查日期、每日8个时次、14个变量、lev坐标、单位和经纬度。文件存在并不代表可以复用，校验失败或配置不一致的文件不能静默作为输入。原始文件按区域和年份保留，以便中断恢复和后续复算。</w:t>
      </w:r>
    </w:p>
    <w:p>
      <w:r>
        <w:rPr>
          <w:b w:val="0"/>
        </w:rPr>
        <w:t>当前脚本先将所选年度日文件下载或复用至本地，再进入该年度计算。下载中断后，已通过检查的文件可复用；计算中断则从保留的日文件恢复或重算。关键是保留原始文件和检查记录，使网络阶段与数值计算阶段能够分别排查。</w:t>
      </w:r>
    </w:p>
    <w:p>
      <w:pPr>
        <w:pStyle w:val="Heading2"/>
      </w:pPr>
      <w:r>
        <w:t>2.4 逐时次PM₁₀计算与年度组织</w:t>
      </w:r>
    </w:p>
    <w:p>
      <w:pPr>
        <w:keepNext/>
      </w:pPr>
      <w:r>
        <w:rPr>
          <w:b w:val="0"/>
        </w:rPr>
        <w:t>本研究并非从该产品直接读取已经命名为PM₁₀的下载结果，而是使用第72模式层的组分质量混合比和空气密度，在同一网格、同一时次进行计算。当前采用的文献组分方案如下，以S表示加权质量混合比：</w:t>
      </w:r>
    </w:p>
    <w:p>
      <w:pPr>
        <w:keepNext/>
        <w:spacing w:after="120"/>
        <w:ind w:firstLine="0"/>
        <w:jc w:val="center"/>
      </w:pPr>
      <m:oMath>
        <m:r>
          <m:t>S = 1.375×SO4 + BCPHOBIC + BCPHILIC</m:t>
        </m:r>
      </m:oMath>
    </w:p>
    <w:p>
      <w:pPr>
        <w:keepNext/>
        <w:spacing w:after="120"/>
        <w:ind w:firstLine="0"/>
        <w:jc w:val="center"/>
      </w:pPr>
      <m:oMath>
        <m:r>
          <m:t>    + OCPHOBIC + OCPHILIC + DU001 + DU002 + DU003</m:t>
        </m:r>
      </m:oMath>
    </w:p>
    <w:p>
      <w:pPr>
        <w:keepNext/>
        <w:spacing w:after="120"/>
        <w:ind w:firstLine="0"/>
        <w:jc w:val="center"/>
      </w:pPr>
      <m:oMath>
        <m:r>
          <m:t>    + 0.74×DU004 + SS001 + SS002 + SS003 + SS004</m:t>
        </m:r>
      </m:oMath>
    </w:p>
    <w:p>
      <w:pPr>
        <w:keepNext w:val="0"/>
        <w:spacing w:after="120"/>
        <w:ind w:firstLine="0"/>
        <w:jc w:val="center"/>
      </w:pPr>
      <m:oMath>
        <m:r>
          <m:t>PM₁₀ = S × AIRDENS × 10⁹                         （1）</m:t>
        </m:r>
      </m:oMath>
    </w:p>
    <w:p>
      <w:r>
        <w:rPr>
          <w:b w:val="0"/>
        </w:rPr>
        <w:t>质量混合比的单位为kg kg⁻¹，与AIRDENS（kg m⁻³）相乘后为kg m⁻³，再乘10⁹转换为μg m⁻³。硫酸盐采用1.375系数，DU004采用0.74系数，其余列出组分的系数为1。该方案来自前期提供的学位论文第10页，完整书目和系数原始出处仍待补齐，不将其称为NASA统一发布的PM₁₀公式。总PM₁₀也不能直接等同于沙尘浓度。</w:t>
      </w:r>
    </w:p>
    <w:p>
      <w:r>
        <w:rPr>
          <w:b w:val="0"/>
        </w:rPr>
        <w:t>计算前按文件内的实际时间排序，核对原生网格和区域覆盖，依据多边形覆盖网格中心的规则构建掩膜。随后逐日读取，每次提取一个时次的必要变量，完成式（1）计算后立即写入年度输出。必要输入缺失时保留缺失，不当作零组分；区域外网格设置为缺失，区域内异常值单独记录。</w:t>
      </w:r>
    </w:p>
    <w:p>
      <w:r>
        <w:rPr>
          <w:b w:val="0"/>
        </w:rPr>
        <w:t>这里的“按年合并”具体是：将每日算得的PM₁₀场按时间顺序沿time维追加至年度NetCDF4。当前流程没有先把全部原始组分合成一个年度大文件再计算，也没有把3小时时次改为日均或月均。因此，合并改变的是文件组织粒度，而不是原始时间分辨率。平年完整结果应为2920个时次，闰年为2928个时次；当前年份按实际截止时次核对。</w:t>
      </w:r>
    </w:p>
    <w:p>
      <w:r>
        <w:rPr>
          <w:b w:val="0"/>
        </w:rPr>
        <w:t>该方式将内存需求限制在当前读取切片及缓冲区，避免一次加载全年14个变量。年度文件保留规则经纬度数组和区域掩膜；数组外形仍为矩形，并不表示把整个外接矩形作为研究区。写入结束后关闭句柄并重新读取校验，合格的临时文件再转为正式年度文件。</w:t>
      </w:r>
    </w:p>
    <w:p>
      <w:pPr>
        <w:pStyle w:val="Heading2"/>
      </w:pPr>
      <w:r>
        <w:t>2.5 分层保存及其选择依据</w:t>
      </w:r>
    </w:p>
    <w:p>
      <w:r>
        <w:rPr>
          <w:b w:val="0"/>
        </w:rPr>
        <w:t>本研究将任务记录、原始数据和派生结果分层管理。国内现有近地面PM₁₀流程按四省区联合范围组织年度网格；邻国版本按国家分目录，每个国家每年一个PM₁₀文件。原始日文件持续保留，城市或站点序列在匹配方法确定后另行提取（表4）。</w:t>
      </w:r>
    </w:p>
    <w:p>
      <w:pPr>
        <w:pStyle w:val="Caption"/>
        <w:keepNext/>
        <w:jc w:val="center"/>
      </w:pPr>
      <w:r>
        <w:t>表4  文件层次、主要内容和保留理由</w:t>
      </w:r>
    </w:p>
    <w:tbl>
      <w:tblPr>
        <w:tblStyle w:val="TableGrid"/>
        <w:tblW w:type="auto" w:w="0"/>
        <w:tblLayout w:type="fixed"/>
        <w:tblLook w:firstColumn="1" w:firstRow="1" w:lastColumn="0" w:lastRow="0" w:noHBand="0" w:noVBand="1" w:val="04A0"/>
      </w:tblPr>
      <w:tblGrid>
        <w:gridCol w:w="1871"/>
        <w:gridCol w:w="3742"/>
        <w:gridCol w:w="3458"/>
      </w:tblGrid>
      <w:tr>
        <w:trPr>
          <w:tblHeader/>
          <w:cantSplit/>
        </w:trPr>
        <w:tc>
          <w:tcPr>
            <w:tcW w:type="dxa" w:w="1871"/>
            <w:shd w:fill="EAEFF4"/>
          </w:tcPr>
          <w:p>
            <w:pPr>
              <w:keepNext/>
              <w:spacing w:line="276" w:lineRule="auto" w:after="80" w:before="80"/>
              <w:ind w:firstLine="0"/>
            </w:pPr>
            <w:r>
              <w:rPr>
                <w:b/>
                <w:sz w:val="19"/>
              </w:rPr>
              <w:t>文件层次</w:t>
            </w:r>
          </w:p>
        </w:tc>
        <w:tc>
          <w:tcPr>
            <w:tcW w:type="dxa" w:w="3742"/>
            <w:shd w:fill="EAEFF4"/>
          </w:tcPr>
          <w:p>
            <w:pPr>
              <w:keepNext/>
              <w:spacing w:line="276" w:lineRule="auto" w:after="80" w:before="80"/>
              <w:ind w:firstLine="0"/>
            </w:pPr>
            <w:r>
              <w:rPr>
                <w:b/>
                <w:sz w:val="19"/>
              </w:rPr>
              <w:t>内容及组织</w:t>
            </w:r>
          </w:p>
        </w:tc>
        <w:tc>
          <w:tcPr>
            <w:tcW w:type="dxa" w:w="3458"/>
            <w:shd w:fill="EAEFF4"/>
          </w:tcPr>
          <w:p>
            <w:pPr>
              <w:keepNext/>
              <w:spacing w:line="276" w:lineRule="auto" w:after="80" w:before="80"/>
              <w:ind w:firstLine="0"/>
            </w:pPr>
            <w:r>
              <w:rPr>
                <w:b/>
                <w:sz w:val="19"/>
              </w:rPr>
              <w:t>保留理由</w:t>
            </w:r>
          </w:p>
        </w:tc>
      </w:tr>
      <w:tr>
        <w:trPr>
          <w:cantSplit/>
        </w:trPr>
        <w:tc>
          <w:tcPr>
            <w:tcW w:type="dxa" w:w="1871"/>
          </w:tcPr>
          <w:p>
            <w:pPr>
              <w:keepNext/>
              <w:spacing w:line="276" w:lineRule="auto" w:after="80" w:before="80"/>
              <w:ind w:firstLine="0"/>
            </w:pPr>
            <w:r>
              <w:rPr>
                <w:b w:val="0"/>
                <w:sz w:val="19"/>
              </w:rPr>
              <w:t>任务JSON与链接TXT</w:t>
            </w:r>
          </w:p>
        </w:tc>
        <w:tc>
          <w:tcPr>
            <w:tcW w:type="dxa" w:w="3742"/>
          </w:tcPr>
          <w:p>
            <w:pPr>
              <w:keepNext/>
              <w:spacing w:line="276" w:lineRule="auto" w:after="80" w:before="80"/>
              <w:ind w:firstLine="0"/>
            </w:pPr>
            <w:r>
              <w:rPr>
                <w:b w:val="0"/>
                <w:sz w:val="19"/>
              </w:rPr>
              <w:t>区域、请求时间、变量、任务状态、到期信息及日文件地址</w:t>
            </w:r>
          </w:p>
        </w:tc>
        <w:tc>
          <w:tcPr>
            <w:tcW w:type="dxa" w:w="3458"/>
          </w:tcPr>
          <w:p>
            <w:pPr>
              <w:keepNext/>
              <w:spacing w:line="276" w:lineRule="auto" w:after="80" w:before="80"/>
              <w:ind w:firstLine="0"/>
            </w:pPr>
            <w:r>
              <w:rPr>
                <w:b w:val="0"/>
                <w:sz w:val="19"/>
              </w:rPr>
              <w:t>可查询任务、恢复清单和识别缺失；不是原始数值</w:t>
            </w:r>
          </w:p>
        </w:tc>
      </w:tr>
      <w:tr>
        <w:trPr>
          <w:cantSplit/>
        </w:trPr>
        <w:tc>
          <w:tcPr>
            <w:tcW w:type="dxa" w:w="1871"/>
          </w:tcPr>
          <w:p>
            <w:pPr>
              <w:keepNext/>
              <w:spacing w:line="276" w:lineRule="auto" w:after="80" w:before="80"/>
              <w:ind w:firstLine="0"/>
            </w:pPr>
            <w:r>
              <w:rPr>
                <w:b w:val="0"/>
                <w:sz w:val="19"/>
              </w:rPr>
              <w:t>原始日NetCDF</w:t>
            </w:r>
          </w:p>
        </w:tc>
        <w:tc>
          <w:tcPr>
            <w:tcW w:type="dxa" w:w="3742"/>
          </w:tcPr>
          <w:p>
            <w:pPr>
              <w:keepNext/>
              <w:spacing w:line="276" w:lineRule="auto" w:after="80" w:before="80"/>
              <w:ind w:firstLine="0"/>
            </w:pPr>
            <w:r>
              <w:rPr>
                <w:b w:val="0"/>
                <w:sz w:val="19"/>
              </w:rPr>
              <w:t>14个输入变量及原始坐标，按日保存</w:t>
            </w:r>
          </w:p>
        </w:tc>
        <w:tc>
          <w:tcPr>
            <w:tcW w:type="dxa" w:w="3458"/>
          </w:tcPr>
          <w:p>
            <w:pPr>
              <w:keepNext/>
              <w:spacing w:line="276" w:lineRule="auto" w:after="80" w:before="80"/>
              <w:ind w:firstLine="0"/>
            </w:pPr>
            <w:r>
              <w:rPr>
                <w:b w:val="0"/>
                <w:sz w:val="19"/>
              </w:rPr>
              <w:t>可核查组分、调整计算方案和复算，无需重复下载</w:t>
            </w:r>
          </w:p>
        </w:tc>
      </w:tr>
      <w:tr>
        <w:trPr>
          <w:cantSplit/>
        </w:trPr>
        <w:tc>
          <w:tcPr>
            <w:tcW w:type="dxa" w:w="1871"/>
          </w:tcPr>
          <w:p>
            <w:pPr>
              <w:keepNext/>
              <w:spacing w:line="276" w:lineRule="auto" w:after="80" w:before="80"/>
              <w:ind w:firstLine="0"/>
            </w:pPr>
            <w:r>
              <w:rPr>
                <w:b w:val="0"/>
                <w:sz w:val="19"/>
              </w:rPr>
              <w:t>年度PM₁₀ NetCDF4</w:t>
            </w:r>
          </w:p>
        </w:tc>
        <w:tc>
          <w:tcPr>
            <w:tcW w:type="dxa" w:w="3742"/>
          </w:tcPr>
          <w:p>
            <w:pPr>
              <w:keepNext/>
              <w:spacing w:line="276" w:lineRule="auto" w:after="80" w:before="80"/>
              <w:ind w:firstLine="0"/>
            </w:pPr>
            <w:r>
              <w:rPr>
                <w:b w:val="0"/>
                <w:sz w:val="19"/>
              </w:rPr>
              <w:t>时间×纬度×经度的PM10，另含模式层标识、单位、掩膜和公式</w:t>
            </w:r>
          </w:p>
        </w:tc>
        <w:tc>
          <w:tcPr>
            <w:tcW w:type="dxa" w:w="3458"/>
          </w:tcPr>
          <w:p>
            <w:pPr>
              <w:keepNext/>
              <w:spacing w:line="276" w:lineRule="auto" w:after="80" w:before="80"/>
              <w:ind w:firstLine="0"/>
            </w:pPr>
            <w:r>
              <w:rPr>
                <w:b w:val="0"/>
                <w:sz w:val="19"/>
              </w:rPr>
              <w:t>按年份管理与按需读取，为不同点位匹配提供网格基础</w:t>
            </w:r>
          </w:p>
        </w:tc>
      </w:tr>
      <w:tr>
        <w:trPr>
          <w:cantSplit/>
        </w:trPr>
        <w:tc>
          <w:tcPr>
            <w:tcW w:type="dxa" w:w="1871"/>
          </w:tcPr>
          <w:p>
            <w:pPr>
              <w:keepNext w:val="0"/>
              <w:spacing w:line="276" w:lineRule="auto" w:after="80" w:before="80"/>
              <w:ind w:firstLine="0"/>
            </w:pPr>
            <w:r>
              <w:rPr>
                <w:b w:val="0"/>
                <w:sz w:val="19"/>
              </w:rPr>
              <w:t>后续城市／站点表格</w:t>
            </w:r>
          </w:p>
        </w:tc>
        <w:tc>
          <w:tcPr>
            <w:tcW w:type="dxa" w:w="3742"/>
          </w:tcPr>
          <w:p>
            <w:pPr>
              <w:keepNext w:val="0"/>
              <w:spacing w:line="276" w:lineRule="auto" w:after="80" w:before="80"/>
              <w:ind w:firstLine="0"/>
            </w:pPr>
            <w:r>
              <w:rPr>
                <w:b w:val="0"/>
                <w:sz w:val="19"/>
              </w:rPr>
              <w:t>按目标位置提取的多年序列，可导出CSV或Parquet</w:t>
            </w:r>
          </w:p>
        </w:tc>
        <w:tc>
          <w:tcPr>
            <w:tcW w:type="dxa" w:w="3458"/>
          </w:tcPr>
          <w:p>
            <w:pPr>
              <w:keepNext w:val="0"/>
              <w:spacing w:line="276" w:lineRule="auto" w:after="80" w:before="80"/>
              <w:ind w:firstLine="0"/>
            </w:pPr>
            <w:r>
              <w:rPr>
                <w:b w:val="0"/>
                <w:sz w:val="19"/>
              </w:rPr>
              <w:t>便于观测配对、绘图和统计；点位资料尚需核实</w:t>
            </w:r>
          </w:p>
        </w:tc>
      </w:tr>
    </w:tbl>
    <w:p>
      <w:r>
        <w:rPr>
          <w:b w:val="0"/>
        </w:rPr>
        <w:t>年度NetCDF4适合同时保存多维网格和元数据，并可按时间或空间切片读取。它避免将经纬度、时间和多种变量全部重复展开为大型CSV；按年拆分又便于限定重算范围、检查单年缺失及后续扩展。只有少量目标点的序列再输出表格，更符合城市或站点分析的使用方式。</w:t>
      </w:r>
    </w:p>
    <w:p>
      <w:r>
        <w:rPr>
          <w:b w:val="0"/>
        </w:rPr>
        <w:t>中间计算采用float64，年度PM₁₀以float32保存，并使用分块和zlib压缩。zlib对已存储的数值无损，但float64转float32本身存在舍入，不能把整个转换过程称为完全无损。存储设置服务于文件体积和读取需求，不改变格点坐标或3小时时次。具体参数列于附录，便于复现。</w:t>
      </w:r>
    </w:p>
    <w:p>
      <w:r>
        <w:rPr>
          <w:b w:val="0"/>
        </w:rPr>
        <w:t>逐时次读取用于控制运行内存，变量筛选与压缩存储用于控制磁盘占用。现阶段同时保留原始日文件和派生结果，以增加一定存储占用换取输入可核查、方案可复算的能力；待目标点位确定后，日常分析可主要使用提取后的轻量序列。</w:t>
      </w:r>
    </w:p>
    <w:p>
      <w:r>
        <w:rPr>
          <w:b w:val="0"/>
        </w:rPr>
        <w:t>这种分层保留使后续修改有明确入口：只更换城市或匹配方法时，从年度PM₁₀重新提取；改变组分公式时，从原始变量重新计算。无需为了每次点位调整重新向NASA申请全部原始资料。</w:t>
      </w:r>
    </w:p>
    <w:p>
      <w:pPr>
        <w:pStyle w:val="Heading2"/>
      </w:pPr>
      <w:r>
        <w:t>2.6 完整性判断与后续使用边界</w:t>
      </w:r>
    </w:p>
    <w:p>
      <w:pPr>
        <w:pStyle w:val="Caption"/>
        <w:keepNext/>
        <w:jc w:val="center"/>
      </w:pPr>
      <w:r>
        <w:t>表5  各阶段的完成条件和记录重点</w:t>
      </w:r>
    </w:p>
    <w:tbl>
      <w:tblPr>
        <w:tblStyle w:val="TableGrid"/>
        <w:tblW w:type="auto" w:w="0"/>
        <w:tblLayout w:type="fixed"/>
        <w:tblLook w:firstColumn="1" w:firstRow="1" w:lastColumn="0" w:lastRow="0" w:noHBand="0" w:noVBand="1" w:val="04A0"/>
      </w:tblPr>
      <w:tblGrid>
        <w:gridCol w:w="1701"/>
        <w:gridCol w:w="3402"/>
        <w:gridCol w:w="3969"/>
      </w:tblGrid>
      <w:tr>
        <w:trPr>
          <w:tblHeader/>
          <w:cantSplit/>
        </w:trPr>
        <w:tc>
          <w:tcPr>
            <w:tcW w:type="dxa" w:w="1701"/>
            <w:shd w:fill="EAEFF4"/>
          </w:tcPr>
          <w:p>
            <w:pPr>
              <w:keepNext/>
              <w:spacing w:line="276" w:lineRule="auto" w:after="80" w:before="80"/>
              <w:ind w:firstLine="0"/>
            </w:pPr>
            <w:r>
              <w:rPr>
                <w:b/>
                <w:sz w:val="19"/>
              </w:rPr>
              <w:t>阶段</w:t>
            </w:r>
          </w:p>
        </w:tc>
        <w:tc>
          <w:tcPr>
            <w:tcW w:type="dxa" w:w="3402"/>
            <w:shd w:fill="EAEFF4"/>
          </w:tcPr>
          <w:p>
            <w:pPr>
              <w:keepNext/>
              <w:spacing w:line="276" w:lineRule="auto" w:after="80" w:before="80"/>
              <w:ind w:firstLine="0"/>
            </w:pPr>
            <w:r>
              <w:rPr>
                <w:b/>
                <w:sz w:val="19"/>
              </w:rPr>
              <w:t>完成条件</w:t>
            </w:r>
          </w:p>
        </w:tc>
        <w:tc>
          <w:tcPr>
            <w:tcW w:type="dxa" w:w="3969"/>
            <w:shd w:fill="EAEFF4"/>
          </w:tcPr>
          <w:p>
            <w:pPr>
              <w:keepNext/>
              <w:spacing w:line="276" w:lineRule="auto" w:after="80" w:before="80"/>
              <w:ind w:firstLine="0"/>
            </w:pPr>
            <w:r>
              <w:rPr>
                <w:b/>
                <w:sz w:val="19"/>
              </w:rPr>
              <w:t>需保留的检查信息</w:t>
            </w:r>
          </w:p>
        </w:tc>
      </w:tr>
      <w:tr>
        <w:trPr>
          <w:cantSplit/>
        </w:trPr>
        <w:tc>
          <w:tcPr>
            <w:tcW w:type="dxa" w:w="1701"/>
          </w:tcPr>
          <w:p>
            <w:pPr>
              <w:keepNext/>
              <w:spacing w:line="276" w:lineRule="auto" w:after="80" w:before="80"/>
              <w:ind w:firstLine="0"/>
            </w:pPr>
            <w:r>
              <w:rPr>
                <w:b w:val="0"/>
                <w:sz w:val="19"/>
              </w:rPr>
              <w:t>链接准备</w:t>
            </w:r>
          </w:p>
        </w:tc>
        <w:tc>
          <w:tcPr>
            <w:tcW w:type="dxa" w:w="3402"/>
          </w:tcPr>
          <w:p>
            <w:pPr>
              <w:keepNext/>
              <w:spacing w:line="276" w:lineRule="auto" w:after="80" w:before="80"/>
              <w:ind w:firstLine="0"/>
            </w:pPr>
            <w:r>
              <w:rPr>
                <w:b w:val="0"/>
                <w:sz w:val="19"/>
              </w:rPr>
              <w:t>任务状态与请求一致，日期连续且无重复</w:t>
            </w:r>
          </w:p>
        </w:tc>
        <w:tc>
          <w:tcPr>
            <w:tcW w:type="dxa" w:w="3969"/>
          </w:tcPr>
          <w:p>
            <w:pPr>
              <w:keepNext/>
              <w:spacing w:line="276" w:lineRule="auto" w:after="80" w:before="80"/>
              <w:ind w:firstLine="0"/>
            </w:pPr>
            <w:r>
              <w:rPr>
                <w:b w:val="0"/>
                <w:sz w:val="19"/>
              </w:rPr>
              <w:t>地区、年份、job_id、起止时次、链接数、有效期</w:t>
            </w:r>
          </w:p>
        </w:tc>
      </w:tr>
      <w:tr>
        <w:trPr>
          <w:cantSplit/>
        </w:trPr>
        <w:tc>
          <w:tcPr>
            <w:tcW w:type="dxa" w:w="1701"/>
          </w:tcPr>
          <w:p>
            <w:pPr>
              <w:keepNext/>
              <w:spacing w:line="276" w:lineRule="auto" w:after="80" w:before="80"/>
              <w:ind w:firstLine="0"/>
            </w:pPr>
            <w:r>
              <w:rPr>
                <w:b w:val="0"/>
                <w:sz w:val="19"/>
              </w:rPr>
              <w:t>实体数据</w:t>
            </w:r>
          </w:p>
        </w:tc>
        <w:tc>
          <w:tcPr>
            <w:tcW w:type="dxa" w:w="3402"/>
          </w:tcPr>
          <w:p>
            <w:pPr>
              <w:keepNext/>
              <w:spacing w:line="276" w:lineRule="auto" w:after="80" w:before="80"/>
              <w:ind w:firstLine="0"/>
            </w:pPr>
            <w:r>
              <w:rPr>
                <w:b w:val="0"/>
                <w:sz w:val="19"/>
              </w:rPr>
              <w:t>所需日文件齐备且内容检查通过</w:t>
            </w:r>
          </w:p>
        </w:tc>
        <w:tc>
          <w:tcPr>
            <w:tcW w:type="dxa" w:w="3969"/>
          </w:tcPr>
          <w:p>
            <w:pPr>
              <w:keepNext/>
              <w:spacing w:line="276" w:lineRule="auto" w:after="80" w:before="80"/>
              <w:ind w:firstLine="0"/>
            </w:pPr>
            <w:r>
              <w:rPr>
                <w:b w:val="0"/>
                <w:sz w:val="19"/>
              </w:rPr>
              <w:t>文件校验和、变量、层次、坐标和日内时次</w:t>
            </w:r>
          </w:p>
        </w:tc>
      </w:tr>
      <w:tr>
        <w:trPr>
          <w:cantSplit/>
        </w:trPr>
        <w:tc>
          <w:tcPr>
            <w:tcW w:type="dxa" w:w="1701"/>
          </w:tcPr>
          <w:p>
            <w:pPr>
              <w:keepNext w:val="0"/>
              <w:spacing w:line="276" w:lineRule="auto" w:after="80" w:before="80"/>
              <w:ind w:firstLine="0"/>
            </w:pPr>
            <w:r>
              <w:rPr>
                <w:b w:val="0"/>
                <w:sz w:val="19"/>
              </w:rPr>
              <w:t>年度计算</w:t>
            </w:r>
          </w:p>
        </w:tc>
        <w:tc>
          <w:tcPr>
            <w:tcW w:type="dxa" w:w="3402"/>
          </w:tcPr>
          <w:p>
            <w:pPr>
              <w:keepNext w:val="0"/>
              <w:spacing w:line="276" w:lineRule="auto" w:after="80" w:before="80"/>
              <w:ind w:firstLine="0"/>
            </w:pPr>
            <w:r>
              <w:rPr>
                <w:b w:val="0"/>
                <w:sz w:val="19"/>
              </w:rPr>
              <w:t>PM₁₀覆盖预期时间范围并完成写入校验</w:t>
            </w:r>
          </w:p>
        </w:tc>
        <w:tc>
          <w:tcPr>
            <w:tcW w:type="dxa" w:w="3969"/>
          </w:tcPr>
          <w:p>
            <w:pPr>
              <w:keepNext w:val="0"/>
              <w:spacing w:line="276" w:lineRule="auto" w:after="80" w:before="80"/>
              <w:ind w:firstLine="0"/>
            </w:pPr>
            <w:r>
              <w:rPr>
                <w:b w:val="0"/>
                <w:sz w:val="19"/>
              </w:rPr>
              <w:t>时次总数、完整自然年标识、区域内缺失与负值、数值范围及输出校验和</w:t>
            </w:r>
          </w:p>
        </w:tc>
      </w:tr>
    </w:tbl>
    <w:p>
      <w:r>
        <w:rPr>
          <w:b w:val="0"/>
        </w:rPr>
        <w:t>须区分“请求范围内已经完成”和“完整自然年”：例如当前年份可以完成截至最新可用日的计算，但仍不是全年资料。程序中的时间完整性也不等于区域内每个格点均无缺失，缺失和异常统计需要另外查看。对已有合格结果执行跳过，对不完整或配置不一致结果保留记录并处理，不以文件名存在代替检查。</w:t>
      </w:r>
    </w:p>
    <w:p>
      <w:r>
        <w:rPr>
          <w:b w:val="0"/>
        </w:rPr>
        <w:t>年度文件以UTC年份组织，后续可增加当地时间。城市或站点匹配需要核实输入坐标、保留匹配网格和距离，并统一观测的时间统计尺度。本稿明确可用于提取的数据基础，具体匹配方法、观测来源及基于实际观测的精度评价另行展开。</w:t>
      </w:r>
    </w:p>
    <w:p>
      <w:r>
        <w:br w:type="page"/>
      </w:r>
    </w:p>
    <w:p>
      <w:pPr>
        <w:pStyle w:val="Heading1"/>
      </w:pPr>
      <w:r>
        <w:t>附录  复现所需的目录与参数</w:t>
      </w:r>
    </w:p>
    <w:p>
      <w:pPr>
        <w:pStyle w:val="Caption"/>
        <w:keepNext/>
        <w:jc w:val="center"/>
      </w:pPr>
      <w:r>
        <w:t>表A1  当前数据目录的组织方式</w:t>
      </w:r>
    </w:p>
    <w:tbl>
      <w:tblPr>
        <w:tblStyle w:val="TableGrid"/>
        <w:tblW w:type="auto" w:w="0"/>
        <w:tblLayout w:type="fixed"/>
        <w:tblLook w:firstColumn="1" w:firstRow="1" w:lastColumn="0" w:lastRow="0" w:noHBand="0" w:noVBand="1" w:val="04A0"/>
      </w:tblPr>
      <w:tblGrid>
        <w:gridCol w:w="2268"/>
        <w:gridCol w:w="6803"/>
      </w:tblGrid>
      <w:tr>
        <w:trPr>
          <w:tblHeader/>
          <w:cantSplit/>
        </w:trPr>
        <w:tc>
          <w:tcPr>
            <w:tcW w:type="dxa" w:w="2268"/>
            <w:shd w:fill="EAEFF4"/>
          </w:tcPr>
          <w:p>
            <w:pPr>
              <w:keepNext/>
              <w:spacing w:line="276" w:lineRule="auto" w:after="80" w:before="80"/>
              <w:ind w:firstLine="0"/>
            </w:pPr>
            <w:r>
              <w:rPr>
                <w:b/>
                <w:sz w:val="19"/>
              </w:rPr>
              <w:t>数据</w:t>
            </w:r>
          </w:p>
        </w:tc>
        <w:tc>
          <w:tcPr>
            <w:tcW w:type="dxa" w:w="6803"/>
            <w:shd w:fill="EAEFF4"/>
          </w:tcPr>
          <w:p>
            <w:pPr>
              <w:keepNext/>
              <w:spacing w:line="276" w:lineRule="auto" w:after="80" w:before="80"/>
              <w:ind w:firstLine="0"/>
            </w:pPr>
            <w:r>
              <w:rPr>
                <w:b/>
                <w:sz w:val="19"/>
              </w:rPr>
              <w:t>相对脚本目录的路径示意</w:t>
            </w:r>
          </w:p>
        </w:tc>
      </w:tr>
      <w:tr>
        <w:trPr>
          <w:cantSplit/>
        </w:trPr>
        <w:tc>
          <w:tcPr>
            <w:tcW w:type="dxa" w:w="2268"/>
          </w:tcPr>
          <w:p>
            <w:pPr>
              <w:keepNext/>
              <w:spacing w:line="276" w:lineRule="auto" w:after="80" w:before="80"/>
              <w:ind w:firstLine="0"/>
            </w:pPr>
            <w:r>
              <w:rPr>
                <w:b w:val="0"/>
                <w:sz w:val="19"/>
              </w:rPr>
              <w:t>邻国链接与任务记录</w:t>
            </w:r>
          </w:p>
        </w:tc>
        <w:tc>
          <w:tcPr>
            <w:tcW w:type="dxa" w:w="6803"/>
          </w:tcPr>
          <w:p>
            <w:pPr>
              <w:keepNext/>
              <w:spacing w:line="276" w:lineRule="auto" w:after="80" w:before="80"/>
              <w:ind w:firstLine="0"/>
            </w:pPr>
            <w:r>
              <w:rPr>
                <w:b w:val="0"/>
                <w:sz w:val="19"/>
              </w:rPr>
              <w:t>merra_links_neighbors/中文国家/年代/年份_links.txt及年份_job.json</w:t>
            </w:r>
          </w:p>
        </w:tc>
      </w:tr>
      <w:tr>
        <w:trPr>
          <w:cantSplit/>
        </w:trPr>
        <w:tc>
          <w:tcPr>
            <w:tcW w:type="dxa" w:w="2268"/>
          </w:tcPr>
          <w:p>
            <w:pPr>
              <w:keepNext/>
              <w:spacing w:line="276" w:lineRule="auto" w:after="80" w:before="80"/>
              <w:ind w:firstLine="0"/>
            </w:pPr>
            <w:r>
              <w:rPr>
                <w:b w:val="0"/>
                <w:sz w:val="19"/>
              </w:rPr>
              <w:t>国内原始日文件</w:t>
            </w:r>
          </w:p>
        </w:tc>
        <w:tc>
          <w:tcPr>
            <w:tcW w:type="dxa" w:w="6803"/>
          </w:tcPr>
          <w:p>
            <w:pPr>
              <w:keepNext/>
              <w:spacing w:line="276" w:lineRule="auto" w:after="80" w:before="80"/>
              <w:ind w:firstLine="0"/>
            </w:pPr>
            <w:r>
              <w:rPr>
                <w:b w:val="0"/>
                <w:sz w:val="19"/>
              </w:rPr>
              <w:t>merra_data/raw/年份/</w:t>
            </w:r>
          </w:p>
        </w:tc>
      </w:tr>
      <w:tr>
        <w:trPr>
          <w:cantSplit/>
        </w:trPr>
        <w:tc>
          <w:tcPr>
            <w:tcW w:type="dxa" w:w="2268"/>
          </w:tcPr>
          <w:p>
            <w:pPr>
              <w:keepNext/>
              <w:spacing w:line="276" w:lineRule="auto" w:after="80" w:before="80"/>
              <w:ind w:firstLine="0"/>
            </w:pPr>
            <w:r>
              <w:rPr>
                <w:b w:val="0"/>
                <w:sz w:val="19"/>
              </w:rPr>
              <w:t>国内年度PM₁₀</w:t>
            </w:r>
          </w:p>
        </w:tc>
        <w:tc>
          <w:tcPr>
            <w:tcW w:type="dxa" w:w="6803"/>
          </w:tcPr>
          <w:p>
            <w:pPr>
              <w:keepNext/>
              <w:spacing w:line="276" w:lineRule="auto" w:after="80" w:before="80"/>
              <w:ind w:firstLine="0"/>
            </w:pPr>
            <w:r>
              <w:rPr>
                <w:b w:val="0"/>
                <w:sz w:val="19"/>
              </w:rPr>
              <w:t>merra_data/pm10/年份_pm10.nc4</w:t>
            </w:r>
          </w:p>
        </w:tc>
      </w:tr>
      <w:tr>
        <w:trPr>
          <w:cantSplit/>
        </w:trPr>
        <w:tc>
          <w:tcPr>
            <w:tcW w:type="dxa" w:w="2268"/>
          </w:tcPr>
          <w:p>
            <w:pPr>
              <w:keepNext/>
              <w:spacing w:line="276" w:lineRule="auto" w:after="80" w:before="80"/>
              <w:ind w:firstLine="0"/>
            </w:pPr>
            <w:r>
              <w:rPr>
                <w:b w:val="0"/>
                <w:sz w:val="19"/>
              </w:rPr>
              <w:t>邻国原始日文件</w:t>
            </w:r>
          </w:p>
        </w:tc>
        <w:tc>
          <w:tcPr>
            <w:tcW w:type="dxa" w:w="6803"/>
          </w:tcPr>
          <w:p>
            <w:pPr>
              <w:keepNext/>
              <w:spacing w:line="276" w:lineRule="auto" w:after="80" w:before="80"/>
              <w:ind w:firstLine="0"/>
            </w:pPr>
            <w:r>
              <w:rPr>
                <w:b w:val="0"/>
                <w:sz w:val="19"/>
              </w:rPr>
              <w:t>merra_data_neighbors/raw/英文国家/年份/</w:t>
            </w:r>
          </w:p>
        </w:tc>
      </w:tr>
      <w:tr>
        <w:trPr>
          <w:cantSplit/>
        </w:trPr>
        <w:tc>
          <w:tcPr>
            <w:tcW w:type="dxa" w:w="2268"/>
          </w:tcPr>
          <w:p>
            <w:pPr>
              <w:keepNext w:val="0"/>
              <w:spacing w:line="276" w:lineRule="auto" w:after="80" w:before="80"/>
              <w:ind w:firstLine="0"/>
            </w:pPr>
            <w:r>
              <w:rPr>
                <w:b w:val="0"/>
                <w:sz w:val="19"/>
              </w:rPr>
              <w:t>邻国年度PM₁₀</w:t>
            </w:r>
          </w:p>
        </w:tc>
        <w:tc>
          <w:tcPr>
            <w:tcW w:type="dxa" w:w="6803"/>
          </w:tcPr>
          <w:p>
            <w:pPr>
              <w:keepNext w:val="0"/>
              <w:spacing w:line="276" w:lineRule="auto" w:after="80" w:before="80"/>
              <w:ind w:firstLine="0"/>
            </w:pPr>
            <w:r>
              <w:rPr>
                <w:b w:val="0"/>
                <w:sz w:val="19"/>
              </w:rPr>
              <w:t>merra_data_neighbors/pm10/英文国家/年份_pm10.nc4</w:t>
            </w:r>
          </w:p>
        </w:tc>
      </w:tr>
    </w:tbl>
    <w:p>
      <w:pPr>
        <w:ind w:firstLine="0"/>
      </w:pPr>
      <w:r>
        <w:rPr>
          <w:b w:val="0"/>
        </w:rPr>
        <w:t>链接目录保留中文国家名称；邻国NetCDF数据目录使用英文名称，以减少Windows环境中部分底层库的中文路径兼容性问题。两者通过地区标识和请求记录对应，不表示使用不同国家范围。</w:t>
      </w:r>
    </w:p>
    <w:p>
      <w:pPr>
        <w:pStyle w:val="Caption"/>
        <w:keepNext/>
        <w:jc w:val="center"/>
      </w:pPr>
      <w:r>
        <w:t>表A2  当前年度PM₁₀的数值和存储设置</w:t>
      </w:r>
    </w:p>
    <w:tbl>
      <w:tblPr>
        <w:tblStyle w:val="TableGrid"/>
        <w:tblW w:type="auto" w:w="0"/>
        <w:tblLayout w:type="fixed"/>
        <w:tblLook w:firstColumn="1" w:firstRow="1" w:lastColumn="0" w:lastRow="0" w:noHBand="0" w:noVBand="1" w:val="04A0"/>
      </w:tblPr>
      <w:tblGrid>
        <w:gridCol w:w="2268"/>
        <w:gridCol w:w="6803"/>
      </w:tblGrid>
      <w:tr>
        <w:trPr>
          <w:tblHeader/>
          <w:cantSplit/>
        </w:trPr>
        <w:tc>
          <w:tcPr>
            <w:tcW w:type="dxa" w:w="2268"/>
            <w:shd w:fill="EAEFF4"/>
          </w:tcPr>
          <w:p>
            <w:pPr>
              <w:keepNext/>
              <w:spacing w:line="276" w:lineRule="auto" w:after="80" w:before="80"/>
              <w:ind w:firstLine="0"/>
            </w:pPr>
            <w:r>
              <w:rPr>
                <w:b/>
                <w:sz w:val="19"/>
              </w:rPr>
              <w:t>项目</w:t>
            </w:r>
          </w:p>
        </w:tc>
        <w:tc>
          <w:tcPr>
            <w:tcW w:type="dxa" w:w="6803"/>
            <w:shd w:fill="EAEFF4"/>
          </w:tcPr>
          <w:p>
            <w:pPr>
              <w:keepNext/>
              <w:spacing w:line="276" w:lineRule="auto" w:after="80" w:before="80"/>
              <w:ind w:firstLine="0"/>
            </w:pPr>
            <w:r>
              <w:rPr>
                <w:b/>
                <w:sz w:val="19"/>
              </w:rPr>
              <w:t>设置</w:t>
            </w:r>
          </w:p>
        </w:tc>
      </w:tr>
      <w:tr>
        <w:trPr>
          <w:cantSplit/>
        </w:trPr>
        <w:tc>
          <w:tcPr>
            <w:tcW w:type="dxa" w:w="2268"/>
          </w:tcPr>
          <w:p>
            <w:pPr>
              <w:keepNext/>
              <w:spacing w:line="276" w:lineRule="auto" w:after="80" w:before="80"/>
              <w:ind w:firstLine="0"/>
            </w:pPr>
            <w:r>
              <w:rPr>
                <w:b w:val="0"/>
                <w:sz w:val="19"/>
              </w:rPr>
              <w:t>读取与计算</w:t>
            </w:r>
          </w:p>
        </w:tc>
        <w:tc>
          <w:tcPr>
            <w:tcW w:type="dxa" w:w="6803"/>
          </w:tcPr>
          <w:p>
            <w:pPr>
              <w:keepNext/>
              <w:spacing w:line="276" w:lineRule="auto" w:after="80" w:before="80"/>
              <w:ind w:firstLine="0"/>
            </w:pPr>
            <w:r>
              <w:rPr>
                <w:b w:val="0"/>
                <w:sz w:val="19"/>
              </w:rPr>
              <w:t>Python netCDF4读取；float64中间计算</w:t>
            </w:r>
          </w:p>
        </w:tc>
      </w:tr>
      <w:tr>
        <w:trPr>
          <w:cantSplit/>
        </w:trPr>
        <w:tc>
          <w:tcPr>
            <w:tcW w:type="dxa" w:w="2268"/>
          </w:tcPr>
          <w:p>
            <w:pPr>
              <w:keepNext/>
              <w:spacing w:line="276" w:lineRule="auto" w:after="80" w:before="80"/>
              <w:ind w:firstLine="0"/>
            </w:pPr>
            <w:r>
              <w:rPr>
                <w:b w:val="0"/>
                <w:sz w:val="19"/>
              </w:rPr>
              <w:t>浓度与单位</w:t>
            </w:r>
          </w:p>
        </w:tc>
        <w:tc>
          <w:tcPr>
            <w:tcW w:type="dxa" w:w="6803"/>
          </w:tcPr>
          <w:p>
            <w:pPr>
              <w:keepNext/>
              <w:spacing w:line="276" w:lineRule="auto" w:after="80" w:before="80"/>
              <w:ind w:firstLine="0"/>
            </w:pPr>
            <w:r>
              <w:rPr>
                <w:b w:val="0"/>
                <w:sz w:val="19"/>
              </w:rPr>
              <w:t>PM10变量；float32；μg m⁻³</w:t>
            </w:r>
          </w:p>
        </w:tc>
      </w:tr>
      <w:tr>
        <w:trPr>
          <w:cantSplit/>
        </w:trPr>
        <w:tc>
          <w:tcPr>
            <w:tcW w:type="dxa" w:w="2268"/>
          </w:tcPr>
          <w:p>
            <w:pPr>
              <w:keepNext/>
              <w:spacing w:line="276" w:lineRule="auto" w:after="80" w:before="80"/>
              <w:ind w:firstLine="0"/>
            </w:pPr>
            <w:r>
              <w:rPr>
                <w:b w:val="0"/>
                <w:sz w:val="19"/>
              </w:rPr>
              <w:t>输出维度</w:t>
            </w:r>
          </w:p>
        </w:tc>
        <w:tc>
          <w:tcPr>
            <w:tcW w:type="dxa" w:w="6803"/>
          </w:tcPr>
          <w:p>
            <w:pPr>
              <w:keepNext/>
              <w:spacing w:line="276" w:lineRule="auto" w:after="80" w:before="80"/>
              <w:ind w:firstLine="0"/>
            </w:pPr>
            <w:r>
              <w:rPr>
                <w:b w:val="0"/>
                <w:sz w:val="19"/>
              </w:rPr>
              <w:t>time、lat、lon；model_level为72；保留区域掩膜</w:t>
            </w:r>
          </w:p>
        </w:tc>
      </w:tr>
      <w:tr>
        <w:trPr>
          <w:cantSplit/>
        </w:trPr>
        <w:tc>
          <w:tcPr>
            <w:tcW w:type="dxa" w:w="2268"/>
          </w:tcPr>
          <w:p>
            <w:pPr>
              <w:keepNext/>
              <w:spacing w:line="276" w:lineRule="auto" w:after="80" w:before="80"/>
              <w:ind w:firstLine="0"/>
            </w:pPr>
            <w:r>
              <w:rPr>
                <w:b w:val="0"/>
                <w:sz w:val="19"/>
              </w:rPr>
              <w:t>分块</w:t>
            </w:r>
          </w:p>
        </w:tc>
        <w:tc>
          <w:tcPr>
            <w:tcW w:type="dxa" w:w="6803"/>
          </w:tcPr>
          <w:p>
            <w:pPr>
              <w:keepNext/>
              <w:spacing w:line="276" w:lineRule="auto" w:after="80" w:before="80"/>
              <w:ind w:firstLine="0"/>
            </w:pPr>
            <w:r>
              <w:rPr>
                <w:b w:val="0"/>
                <w:sz w:val="19"/>
              </w:rPr>
              <w:t>时间块8个时次；纬度块min(32, 纬度数)，经度块min(64, 经度数)</w:t>
            </w:r>
          </w:p>
        </w:tc>
      </w:tr>
      <w:tr>
        <w:trPr>
          <w:cantSplit/>
        </w:trPr>
        <w:tc>
          <w:tcPr>
            <w:tcW w:type="dxa" w:w="2268"/>
          </w:tcPr>
          <w:p>
            <w:pPr>
              <w:keepNext/>
              <w:spacing w:line="276" w:lineRule="auto" w:after="80" w:before="80"/>
              <w:ind w:firstLine="0"/>
            </w:pPr>
            <w:r>
              <w:rPr>
                <w:b w:val="0"/>
                <w:sz w:val="19"/>
              </w:rPr>
              <w:t>压缩</w:t>
            </w:r>
          </w:p>
        </w:tc>
        <w:tc>
          <w:tcPr>
            <w:tcW w:type="dxa" w:w="6803"/>
          </w:tcPr>
          <w:p>
            <w:pPr>
              <w:keepNext/>
              <w:spacing w:line="276" w:lineRule="auto" w:after="80" w:before="80"/>
              <w:ind w:firstLine="0"/>
            </w:pPr>
            <w:r>
              <w:rPr>
                <w:b w:val="0"/>
                <w:sz w:val="19"/>
              </w:rPr>
              <w:t>zlib，压缩等级2；采用shuffle及Fletcher32设置</w:t>
            </w:r>
          </w:p>
        </w:tc>
      </w:tr>
      <w:tr>
        <w:trPr>
          <w:cantSplit/>
        </w:trPr>
        <w:tc>
          <w:tcPr>
            <w:tcW w:type="dxa" w:w="2268"/>
          </w:tcPr>
          <w:p>
            <w:pPr>
              <w:keepNext/>
              <w:spacing w:line="276" w:lineRule="auto" w:after="80" w:before="80"/>
              <w:ind w:firstLine="0"/>
            </w:pPr>
            <w:r>
              <w:rPr>
                <w:b w:val="0"/>
                <w:sz w:val="19"/>
              </w:rPr>
              <w:t>时间组织</w:t>
            </w:r>
          </w:p>
        </w:tc>
        <w:tc>
          <w:tcPr>
            <w:tcW w:type="dxa" w:w="6803"/>
          </w:tcPr>
          <w:p>
            <w:pPr>
              <w:keepNext/>
              <w:spacing w:line="276" w:lineRule="auto" w:after="80" w:before="80"/>
              <w:ind w:firstLine="0"/>
            </w:pPr>
            <w:r>
              <w:rPr>
                <w:b w:val="0"/>
                <w:sz w:val="19"/>
              </w:rPr>
              <w:t>UTC；沿原始3小时时次追加，不进行时间平均</w:t>
            </w:r>
          </w:p>
        </w:tc>
      </w:tr>
      <w:tr>
        <w:trPr>
          <w:cantSplit/>
        </w:trPr>
        <w:tc>
          <w:tcPr>
            <w:tcW w:type="dxa" w:w="2268"/>
          </w:tcPr>
          <w:p>
            <w:pPr>
              <w:keepNext w:val="0"/>
              <w:spacing w:line="276" w:lineRule="auto" w:after="80" w:before="80"/>
              <w:ind w:firstLine="0"/>
            </w:pPr>
            <w:r>
              <w:rPr>
                <w:b w:val="0"/>
                <w:sz w:val="19"/>
              </w:rPr>
              <w:t>追溯记录</w:t>
            </w:r>
          </w:p>
        </w:tc>
        <w:tc>
          <w:tcPr>
            <w:tcW w:type="dxa" w:w="6803"/>
          </w:tcPr>
          <w:p>
            <w:pPr>
              <w:keepNext w:val="0"/>
              <w:spacing w:line="276" w:lineRule="auto" w:after="80" w:before="80"/>
              <w:ind w:firstLine="0"/>
            </w:pPr>
            <w:r>
              <w:rPr>
                <w:b w:val="0"/>
                <w:sz w:val="19"/>
              </w:rPr>
              <w:t>边界及输入指纹、公式、源文件校验、时次与异常统计、输出校验</w:t>
            </w:r>
          </w:p>
        </w:tc>
      </w:tr>
    </w:tbl>
    <w:p>
      <w:pPr>
        <w:pStyle w:val="Heading1"/>
      </w:pPr>
      <w:r>
        <w:t>资料来源</w:t>
      </w:r>
    </w:p>
    <w:p>
      <w:pPr>
        <w:keepLines/>
        <w:ind w:firstLine="0"/>
      </w:pPr>
      <w:r>
        <w:rPr>
          <w:b w:val="0"/>
        </w:rPr>
        <w:t>[1] Global Modeling and Assimilation Office (GMAO). MERRA-2 inst3_3d_aer_Nv: 3d, 3-Hourly, Instantaneous, Model-Level, Assimilation, Aerosol Mixing Ratio V5.12.4 (M2I3NVAER)[DS]. NASA GES DISC, 2015. DOI: 10.5067/LTVB4GPCOTK2. 产品信息依据NASA CMR元数据核对。</w:t>
      </w:r>
    </w:p>
    <w:p>
      <w:pPr>
        <w:keepLines/>
        <w:ind w:firstLine="0"/>
      </w:pPr>
      <w:r>
        <w:rPr>
          <w:b w:val="0"/>
        </w:rPr>
        <w:t>[2] Gelaro R, McCarty W, Suárez M J, et al. The Modern-Era Retrospective Analysis for Research and Applications, Version 2 (MERRA-2)[J]. Journal of Climate, 2017, 30(14): 5419–5454. DOI: 10.1175/JCLI-D-16-0758.1.</w:t>
      </w:r>
    </w:p>
    <w:p>
      <w:pPr>
        <w:keepLines/>
        <w:ind w:firstLine="0"/>
      </w:pPr>
      <w:r>
        <w:rPr>
          <w:b w:val="0"/>
        </w:rPr>
        <w:t>[3] Randles C A, da Silva A M, Buchard V, et al. The MERRA-2 Aerosol Reanalysis, 1980 Onward. Part I: System Description and Data Assimilation Evaluation[J]. Journal of Climate, 2017, 30(17): 6823–6850. DOI: 10.1175/JCLI-D-16-0609.1.</w:t>
      </w:r>
    </w:p>
    <w:p>
      <w:pPr>
        <w:keepLines/>
        <w:ind w:firstLine="0"/>
      </w:pPr>
      <w:r>
        <w:rPr>
          <w:b w:val="0"/>
        </w:rPr>
        <w:t>[4] geoBoundaries. CHN ADM1, gbOpen[DS]. 采用提交5c25134028196d43ce97b5071934fd0cfc92f09f下的releaseData/gbOpen/CHN/ADM1/geoBoundaries-CHN-ADM1.geojson。</w:t>
      </w:r>
    </w:p>
    <w:p>
      <w:pPr>
        <w:keepLines/>
        <w:ind w:firstLine="0"/>
      </w:pPr>
      <w:r>
        <w:rPr>
          <w:b w:val="0"/>
        </w:rPr>
        <w:t>[5] Natural Earth. Admin 0 – Countries, 1:50m, v5.1.2[DS]. 采用nvkelso/natural-earth-vector仓库v5.1.2标签下的geojson/ne_50m_admin_0_countries.geojson。</w:t>
      </w:r>
    </w:p>
    <w:p>
      <w:pPr>
        <w:keepLines/>
        <w:ind w:firstLine="0"/>
      </w:pPr>
      <w:r>
        <w:rPr>
          <w:b w:val="0"/>
        </w:rPr>
        <w:t>官方产品入口：https://doi.org/10.5067/LTVB4GPCOTK2；产品页：https://disc.gsfc.nasa.gov/datacollection/M2I3NVAER_5.12.4.html。</w:t>
      </w:r>
    </w:p>
    <w:p>
      <w:pPr>
        <w:ind w:firstLine="0"/>
      </w:pPr>
      <w:r>
        <w:rPr>
          <w:b w:val="0"/>
        </w:rPr>
        <w:t>计算公式资料：前期提供的北京大学硕士学位论文第10页。当前系数按该页方案实现；作者、题名、年份及系数原始依据尚待补齐。</w:t>
      </w:r>
    </w:p>
    <w:sectPr w:rsidR="00FC693F" w:rsidRPr="0006063C" w:rsidSect="00034616">
      <w:headerReference w:type="default" r:id="rId9"/>
      <w:footerReference w:type="default" r:id="rId10"/>
      <w:pgSz w:w="11906" w:h="16838"/>
      <w:pgMar w:top="1304" w:right="1361" w:bottom="1247" w:left="147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 xml:space="preserve">第 </w:t>
    </w:r>
    <w:fldSimple w:instr="PAGE"/>
    <w:r>
      <w:rPr>
        <w:sz w:val="18"/>
      </w:rPr>
      <w:t xml:space="preserve"> 页 / 共 </w:t>
    </w:r>
    <w:fldSimple w:instr="NUMPAGES"/>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sz w:val="18"/>
      </w:rPr>
      <w:t>MERRA-2数据介绍与处理方法｜修订稿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ind w:firstLine="440"/>
    </w:pPr>
    <w:rPr>
      <w:rFonts w:ascii="Times New Roman" w:hAnsi="Times New Roman"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ind w:firstLine="0"/>
      <w:contextualSpacing/>
    </w:pPr>
    <w:rPr>
      <w:rFonts w:asciiTheme="majorHAnsi" w:eastAsiaTheme="majorEastAsia" w:hAnsiTheme="majorHAnsi" w:cstheme="majorBidi" w:ascii="Times New Roman" w:hAnsi="Times New Roman" w:eastAsia="黑体"/>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MERRA-2数据介绍及近地面PM10数据构建方法</dc:title>
  <dc:subject>数据介绍、链接获取、下载、逐时次计算、年度组织及保存依据</dc:subject>
  <dc:creator/>
  <cp:keywords>MERRA-2; M2I3NVAER; PM10; NetCDF4; 数据质量控制</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