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</w:pPr>
      <w:r>
        <w:rPr>
          <w:b w:val="0"/>
        </w:rPr>
      </w:r>
    </w:p>
    <w:p>
      <w:pPr>
        <w:ind w:firstLine="0"/>
      </w:pPr>
      <w:r>
        <w:rPr>
          <w:b w:val="0"/>
        </w:rPr>
      </w:r>
    </w:p>
    <w:p>
      <w:pPr>
        <w:ind w:firstLine="0"/>
      </w:pPr>
      <w:r>
        <w:rPr>
          <w:b w:val="0"/>
        </w:rPr>
      </w:r>
    </w:p>
    <w:p>
      <w:pPr>
        <w:ind w:firstLine="0"/>
      </w:pPr>
      <w:r>
        <w:rPr>
          <w:b w:val="0"/>
        </w:rPr>
      </w:r>
    </w:p>
    <w:p>
      <w:pPr>
        <w:pStyle w:val="Title"/>
        <w:jc w:val="center"/>
      </w:pPr>
      <w:r>
        <w:t>MERRA-2气溶胶数据获取</w:t>
      </w:r>
    </w:p>
    <w:p>
      <w:pPr>
        <w:pStyle w:val="Title"/>
        <w:jc w:val="center"/>
      </w:pPr>
      <w:r>
        <w:t>与近地面PM₁₀估算</w:t>
      </w:r>
    </w:p>
    <w:p>
      <w:pPr>
        <w:ind w:firstLine="0"/>
        <w:jc w:val="center"/>
      </w:pPr>
      <w:r>
        <w:rPr>
          <w:b w:val="0"/>
          <w:sz w:val="34"/>
        </w:rPr>
        <w:t>阶段性研究工作报告</w:t>
      </w:r>
    </w:p>
    <w:p>
      <w:r>
        <w:rPr>
          <w:b w:val="0"/>
        </w:rPr>
      </w:r>
    </w:p>
    <w:p>
      <w:pPr>
        <w:spacing w:after="240"/>
        <w:ind w:firstLine="0"/>
        <w:jc w:val="center"/>
      </w:pPr>
      <w:r>
        <w:rPr>
          <w:b w:val="0"/>
        </w:rPr>
        <w:t>研究区域：中国四省区及周边七国</w:t>
      </w:r>
    </w:p>
    <w:p>
      <w:pPr>
        <w:spacing w:after="240"/>
        <w:ind w:firstLine="0"/>
        <w:jc w:val="center"/>
      </w:pPr>
      <w:r>
        <w:rPr>
          <w:b w:val="0"/>
        </w:rPr>
        <w:t>本阶段重点时段：2015年至最新实际可用日期</w:t>
      </w:r>
    </w:p>
    <w:p>
      <w:pPr>
        <w:spacing w:after="240"/>
        <w:ind w:firstLine="0"/>
        <w:jc w:val="center"/>
      </w:pPr>
      <w:r>
        <w:rPr>
          <w:b w:val="0"/>
        </w:rPr>
        <w:t>日期：2026年10月21日</w:t>
      </w:r>
    </w:p>
    <w:p>
      <w:pPr>
        <w:spacing w:after="240"/>
        <w:ind w:firstLine="0"/>
        <w:jc w:val="center"/>
      </w:pPr>
      <w:r>
        <w:rPr>
          <w:b w:val="0"/>
        </w:rPr>
        <w:t>版本：V2.0｜组会审阅稿</w:t>
      </w:r>
    </w:p>
    <w:p>
      <w:r>
        <w:rPr>
          <w:b w:val="0"/>
        </w:rPr>
      </w:r>
    </w:p>
    <w:p>
      <w:pPr>
        <w:ind w:firstLine="0"/>
      </w:pPr>
      <w:r>
        <w:rPr>
          <w:b w:val="0"/>
        </w:rPr>
        <w:t>报告范围：数据来源与选择依据、区域子集获取、近地面PM₁₀计算、时空匹配及观测比较方案。数据下载和流程验证为当前工作重点，观测精度评价尚待开展。</w:t>
      </w:r>
    </w:p>
    <w:p>
      <w:r>
        <w:br w:type="page"/>
      </w:r>
    </w:p>
    <w:p>
      <w:pPr>
        <w:pStyle w:val="Heading1"/>
      </w:pPr>
      <w:r>
        <w:t>摘要</w:t>
      </w:r>
    </w:p>
    <w:p>
      <w:r>
        <w:rPr>
          <w:b w:val="0"/>
        </w:rPr>
        <w:t>为构建研究区域近地面PM₁₀的连续时空数据，本阶段采用NASA发布的MERRA-2三维气溶胶再分析产品M2I3NVAER 5.12.4，选取最接近地面的第72模式层，获取空气密度及硫酸盐、黑碳、有机碳、沙尘和海盐相关变量。依据当前采用的文献组分方案，在原始网格上逐时次估算PM₁₀，保留3小时时间分辨率，并按区域、按年份保存为NetCDF4。</w:t>
      </w:r>
    </w:p>
    <w:p>
      <w:r>
        <w:rPr>
          <w:b w:val="0"/>
        </w:rPr>
        <w:t>国内范围为宁夏、新疆、甘肃和内蒙古，国外扩展范围为蒙古国、哈萨克斯坦、吉尔吉斯斯坦、塔吉克斯坦、阿富汗、巴基斯坦和印度。本阶段重点获取2015年至最新实际可用日期的数据，保留原始日文件和任务记录，为后续点位提取、方法复核及观测比较提供可追溯的数据基础。</w:t>
      </w:r>
    </w:p>
    <w:p>
      <w:r>
        <w:rPr>
          <w:b w:val="0"/>
        </w:rPr>
        <w:t>现有运行记录表明，蒙古国2024年已完成366个日文件、2928个时次的PM₁₀计算和年度写出，验证了完整年度处理流程。多区域、多年份任务仍在推进，实际完成范围需逐年盘点。城市代表点的来源、地面观测资料和时空配对规则仍需核实，因此本报告分别说明已实施方法、已完成验证和后续评价方案，不提前给出估算精度结论。</w:t>
      </w:r>
    </w:p>
    <w:p>
      <w:pPr>
        <w:ind w:firstLine="0"/>
      </w:pPr>
      <w:r>
        <w:rPr>
          <w:b w:val="0"/>
        </w:rPr>
        <w:t>关键词：MERRA-2；M2I3NVAER；近地面PM₁₀；区域子集；NetCDF4；时空匹配</w:t>
      </w:r>
    </w:p>
    <w:p>
      <w:pPr>
        <w:pStyle w:val="Heading2"/>
      </w:pPr>
      <w:r>
        <w:t>报告内容</w:t>
      </w:r>
    </w:p>
    <w:p>
      <w:pPr>
        <w:ind w:firstLine="0"/>
      </w:pPr>
      <w:r>
        <w:rPr>
          <w:b w:val="0"/>
        </w:rPr>
        <w:t>1  研究目标与总体技术路线</w:t>
      </w:r>
    </w:p>
    <w:p>
      <w:pPr>
        <w:ind w:firstLine="0"/>
      </w:pPr>
      <w:r>
        <w:rPr>
          <w:b w:val="0"/>
        </w:rPr>
        <w:t>2  数据来源、产品特征与研究范围</w:t>
      </w:r>
    </w:p>
    <w:p>
      <w:pPr>
        <w:ind w:firstLine="0"/>
      </w:pPr>
      <w:r>
        <w:rPr>
          <w:b w:val="0"/>
        </w:rPr>
        <w:t>3  数据获取、预处理与完整性控制</w:t>
      </w:r>
    </w:p>
    <w:p>
      <w:pPr>
        <w:ind w:firstLine="0"/>
      </w:pPr>
      <w:r>
        <w:rPr>
          <w:b w:val="0"/>
        </w:rPr>
        <w:t>4  近地面PM₁₀估算方法</w:t>
      </w:r>
    </w:p>
    <w:p>
      <w:pPr>
        <w:ind w:firstLine="0"/>
      </w:pPr>
      <w:r>
        <w:rPr>
          <w:b w:val="0"/>
        </w:rPr>
        <w:t>5  结果存储、空间匹配与时间统一</w:t>
      </w:r>
    </w:p>
    <w:p>
      <w:pPr>
        <w:ind w:firstLine="0"/>
      </w:pPr>
      <w:r>
        <w:rPr>
          <w:b w:val="0"/>
        </w:rPr>
        <w:t>6  地面观测比较方案</w:t>
      </w:r>
    </w:p>
    <w:p>
      <w:pPr>
        <w:ind w:firstLine="0"/>
      </w:pPr>
      <w:r>
        <w:rPr>
          <w:b w:val="0"/>
        </w:rPr>
        <w:t>7  当前进展、待核实事项与后续安排</w:t>
      </w:r>
    </w:p>
    <w:p>
      <w:pPr>
        <w:ind w:firstLine="0"/>
      </w:pPr>
      <w:r>
        <w:rPr>
          <w:b w:val="0"/>
        </w:rPr>
        <w:t>参考文献；附录：复现记录与定稿清单</w:t>
      </w:r>
    </w:p>
    <w:p>
      <w:r>
        <w:br w:type="page"/>
      </w:r>
    </w:p>
    <w:p>
      <w:pPr>
        <w:pStyle w:val="Heading1"/>
      </w:pPr>
      <w:r>
        <w:t>1  研究目标与总体技术路线</w:t>
      </w:r>
    </w:p>
    <w:p>
      <w:r>
        <w:rPr>
          <w:b w:val="0"/>
        </w:rPr>
        <w:t>研究区域跨越不同地形和观测条件，单一地面站网难以直接提供统一、长期、完整的网格资料。本阶段拟利用MERRA-2的时空连续性，建立可重复计算的近地面PM₁₀数据集，并在后续通过地面观测检验其变化特征及偏差。扩展至周边七国的目的，是为后续区域联系和跨区域过程研究储备一致的数据基础；具体输送关系和沙尘来源仍需进一步分析。</w:t>
      </w:r>
    </w:p>
    <w:p>
      <w:r>
        <w:rPr>
          <w:b w:val="0"/>
        </w:rPr>
        <w:t>技术路线分为五个环节：区域子集请求、原始日文件下载、组分法计算PM₁₀、年度网格结果保存，以及目标位置匹配与观测比较。前四个环节形成可复用的数据基础，最后一个环节用于评价研究位置上的表现。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105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技术流程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  数据获取、计算与后续评价技术路线</w:t>
      </w:r>
    </w:p>
    <w:p>
      <w:r>
        <w:rPr>
          <w:b w:val="0"/>
        </w:rPr>
        <w:t>原始网格PM₁₀与点位提取结果分开保存。这样在城市、站点或匹配方法调整后，可直接从现有网格结果重新提取；若需调整组分公式，也可利用保留的原始变量复算，减少重复下载。</w:t>
      </w:r>
    </w:p>
    <w:p>
      <w:pPr>
        <w:pStyle w:val="Heading1"/>
      </w:pPr>
      <w:r>
        <w:t>2  数据来源、产品特征与研究范围</w:t>
      </w:r>
    </w:p>
    <w:p>
      <w:pPr>
        <w:pStyle w:val="Heading2"/>
      </w:pPr>
      <w:r>
        <w:t>2.1 MERRA-2及所选产品</w:t>
      </w:r>
    </w:p>
    <w:p>
      <w:r>
        <w:rPr>
          <w:b w:val="0"/>
        </w:rPr>
        <w:t>MERRA-2是NASA全球建模与同化办公室（GMAO）开发的再分析资料，通过数值模式和观测约束形成长期、连续的大气与气溶胶数据。本研究从NASA GES DISC获取M2I3NVAER产品。气溶胶再分析与地面PM₁₀直接测量的物理含义和空间代表尺度不同，需要通过独立地面资料评价[1—3]。</w:t>
      </w:r>
    </w:p>
    <w:p>
      <w:pPr>
        <w:pStyle w:val="Caption"/>
        <w:keepNext/>
        <w:jc w:val="center"/>
      </w:pPr>
      <w:r>
        <w:t>表1  所用产品及关键参数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087"/>
      </w:tblGrid>
      <w:tr>
        <w:trPr>
          <w:tblHeader/>
          <w:cantSplit/>
        </w:trPr>
        <w:tc>
          <w:tcPr>
            <w:tcW w:type="dxa" w:w="1984"/>
            <w:shd w:fill="EAEFF4"/>
          </w:tcPr>
          <w:p>
            <w:pPr>
              <w:spacing w:line="276" w:lineRule="auto" w:after="80" w:before="80"/>
              <w:ind w:firstLine="0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type="dxa" w:w="7087"/>
            <w:shd w:fill="EAEFF4"/>
          </w:tcPr>
          <w:p>
            <w:pPr>
              <w:spacing w:line="276" w:lineRule="auto" w:after="80" w:before="80"/>
              <w:ind w:firstLine="0"/>
            </w:pPr>
            <w:r>
              <w:rPr>
                <w:b/>
                <w:sz w:val="19"/>
              </w:rPr>
              <w:t>本研究采用的信息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产品简称与版本</w:t>
            </w:r>
          </w:p>
        </w:tc>
        <w:tc>
          <w:tcPr>
            <w:tcW w:type="dxa" w:w="7087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M2I3NVAER，5.12.4；文件产品标识inst3_3d_aer_Nv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产品性质</w:t>
            </w:r>
          </w:p>
        </w:tc>
        <w:tc>
          <w:tcPr>
            <w:tcW w:type="dxa" w:w="7087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三维、3小时、瞬时、模式层气溶胶质量混合比产品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数据来源</w:t>
            </w:r>
          </w:p>
        </w:tc>
        <w:tc>
          <w:tcPr>
            <w:tcW w:type="dxa" w:w="7087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NASA GES DISC；产品DOI：10.5067/LTVB4GPCOTK2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产品时间覆盖</w:t>
            </w:r>
          </w:p>
        </w:tc>
        <w:tc>
          <w:tcPr>
            <w:tcW w:type="dxa" w:w="7087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自1980年起；实际最新日期随数据发布更新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本阶段重点时期</w:t>
            </w:r>
          </w:p>
        </w:tc>
        <w:tc>
          <w:tcPr>
            <w:tcW w:type="dxa" w:w="7087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2015年至最新实际可用日期，未将当前年份视为完整全年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水平网格间距</w:t>
            </w:r>
          </w:p>
        </w:tc>
        <w:tc>
          <w:tcPr>
            <w:tcW w:type="dxa" w:w="7087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经度0.625°、纬度0.5°；对应物理距离随纬度变化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时间坐标</w:t>
            </w:r>
          </w:p>
        </w:tc>
        <w:tc>
          <w:tcPr>
            <w:tcW w:type="dxa" w:w="7087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每日UTC 00、03、06、09、12、15、18、21时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垂直层次</w:t>
            </w:r>
          </w:p>
        </w:tc>
        <w:tc>
          <w:tcPr>
            <w:tcW w:type="dxa" w:w="7087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共72个模式层；选择最接近地面的第72层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文件格式</w:t>
            </w:r>
          </w:p>
        </w:tc>
        <w:tc>
          <w:tcPr>
            <w:tcW w:type="dxa" w:w="7087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NetCDF4，原始日文件扩展名通常为.nc4</w:t>
            </w:r>
          </w:p>
        </w:tc>
      </w:tr>
    </w:tbl>
    <w:p>
      <w:r>
        <w:rPr>
          <w:b w:val="0"/>
        </w:rPr>
        <w:t>产品元数据明确规定lev=1为顶部模式层，lev=72为底部模式层[1]。第72层不是固定离地高度，不能等同于地面仪器采样高度或固定的2米层。产品为3小时瞬时值，也不能直接写为3小时平均浓度。</w:t>
      </w:r>
    </w:p>
    <w:p>
      <w:pPr>
        <w:pStyle w:val="Heading2"/>
      </w:pPr>
      <w:r>
        <w:t>2.2 区域范围与边界资料</w:t>
      </w:r>
    </w:p>
    <w:p>
      <w:pPr>
        <w:pStyle w:val="Caption"/>
        <w:keepNext/>
        <w:jc w:val="center"/>
      </w:pPr>
      <w:r>
        <w:t>表2  区域划分和边界来源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4762"/>
        <w:gridCol w:w="2835"/>
      </w:tblGrid>
      <w:tr>
        <w:trPr>
          <w:tblHeader/>
          <w:cantSplit/>
        </w:trPr>
        <w:tc>
          <w:tcPr>
            <w:tcW w:type="dxa" w:w="1474"/>
            <w:shd w:fill="EAEFF4"/>
          </w:tcPr>
          <w:p>
            <w:pPr>
              <w:spacing w:line="276" w:lineRule="auto" w:after="80" w:before="80"/>
              <w:ind w:firstLine="0"/>
            </w:pPr>
            <w:r>
              <w:rPr>
                <w:b/>
                <w:sz w:val="19"/>
              </w:rPr>
              <w:t>范围</w:t>
            </w:r>
          </w:p>
        </w:tc>
        <w:tc>
          <w:tcPr>
            <w:tcW w:type="dxa" w:w="4762"/>
            <w:shd w:fill="EAEFF4"/>
          </w:tcPr>
          <w:p>
            <w:pPr>
              <w:spacing w:line="276" w:lineRule="auto" w:after="80" w:before="80"/>
              <w:ind w:firstLine="0"/>
            </w:pPr>
            <w:r>
              <w:rPr>
                <w:b/>
                <w:sz w:val="19"/>
              </w:rPr>
              <w:t>区域</w:t>
            </w:r>
          </w:p>
        </w:tc>
        <w:tc>
          <w:tcPr>
            <w:tcW w:type="dxa" w:w="2835"/>
            <w:shd w:fill="EAEFF4"/>
          </w:tcPr>
          <w:p>
            <w:pPr>
              <w:spacing w:line="276" w:lineRule="auto" w:after="80" w:before="80"/>
              <w:ind w:firstLine="0"/>
            </w:pPr>
            <w:r>
              <w:rPr>
                <w:b/>
                <w:sz w:val="19"/>
              </w:rPr>
              <w:t>采用资料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中国四省区</w:t>
            </w:r>
          </w:p>
        </w:tc>
        <w:tc>
          <w:tcPr>
            <w:tcW w:type="dxa" w:w="4762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宁夏、新疆、甘肃、内蒙古</w:t>
            </w:r>
          </w:p>
        </w:tc>
        <w:tc>
          <w:tcPr>
            <w:tcW w:type="dxa" w:w="2835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geoBoundaries CHN ADM1，固定提交版本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周边七国</w:t>
            </w:r>
          </w:p>
        </w:tc>
        <w:tc>
          <w:tcPr>
            <w:tcW w:type="dxa" w:w="4762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蒙古国、哈萨克斯坦、吉尔吉斯斯坦、塔吉克斯坦、阿富汗、巴基斯坦、印度</w:t>
            </w:r>
          </w:p>
        </w:tc>
        <w:tc>
          <w:tcPr>
            <w:tcW w:type="dxa" w:w="2835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Natural Earth v5.1.2，1:50m国家级边界</w:t>
            </w:r>
          </w:p>
        </w:tc>
      </w:tr>
    </w:tbl>
    <w:p>
      <w:r>
        <w:rPr>
          <w:b w:val="0"/>
        </w:rPr>
        <w:t>国家和省级边界用于区域子集与网格筛选，具体范围以实际采用版本为准。两类资料的来源、层级及概化程度不同，应分别记录[4—5]。边界版本不能替代后续点位覆盖检查；对沿海、岛屿和边境目标，需要核实相邻有效网格是否保留。</w:t>
      </w:r>
    </w:p>
    <w:p>
      <w:pPr>
        <w:pStyle w:val="Heading1"/>
      </w:pPr>
      <w:r>
        <w:t>3  数据获取、预处理与完整性控制</w:t>
      </w:r>
    </w:p>
    <w:p>
      <w:pPr>
        <w:pStyle w:val="Heading2"/>
      </w:pPr>
      <w:r>
        <w:t>3.1 NASA区域子集获取</w:t>
      </w:r>
    </w:p>
    <w:p>
      <w:r>
        <w:rPr>
          <w:b w:val="0"/>
        </w:rPr>
        <w:t>通过Python调用NASA Harmony服务，提交研究区域多边形、起止时间、所需变量和lev=72条件，仅获取PM₁₀估算所需的数据。任务按区域、按年份组织，便于单独恢复和补齐；年代目录仅用于文件管理，不表示将十年数据合成为一个服务端任务。</w:t>
      </w:r>
    </w:p>
    <w:p>
      <w:r>
        <w:rPr>
          <w:b w:val="0"/>
        </w:rPr>
        <w:t>服务端处理完成后，获取逐日结果链接并保存为年度TXT清单，同时记录任务编号、请求范围、状态及链接有效期。随后由下载程序读取清单，保存原始NetCDF日文件。因此，链接获取与实体数据下载是两个环节。任务完成状态和链接日期覆盖均满足要求后，才能将清单用于完整年度处理。</w:t>
      </w:r>
    </w:p>
    <w:p>
      <w:pPr>
        <w:pStyle w:val="Heading2"/>
      </w:pPr>
      <w:r>
        <w:t>3.2 日文件下载和区域预处理</w:t>
      </w:r>
    </w:p>
    <w:p>
      <w:r>
        <w:rPr>
          <w:b w:val="0"/>
        </w:rPr>
        <w:t>下载程序先完成首个缺失文件的认证，再并发下载后续文件。每次运行输入一次账号和密码，在本次国家和年份任务中复用；凭据不写入研究数据。已有文件经过校验后复用，完整年度结果通过检查后跳过。并发用于减少网络等待，实际速度受服务端负载、网络和磁盘共同影响。</w:t>
      </w:r>
    </w:p>
    <w:p>
      <w:r>
        <w:rPr>
          <w:b w:val="0"/>
        </w:rPr>
        <w:t>本地读取时检查时间、变量、层次、单位及经纬度。计算沿用原始网格，不在本阶段人为加密或重新插值。依据区域多边形筛选网格中心，构建区域掩膜，区域外位置设置为缺失。对区域边缘目标，后续匹配前单独检查是否需要补充网格。</w:t>
      </w:r>
    </w:p>
    <w:p>
      <w:pPr>
        <w:pStyle w:val="Heading2"/>
      </w:pPr>
      <w:r>
        <w:t>3.3 时间覆盖与文件质量控制</w:t>
      </w:r>
    </w:p>
    <w:p>
      <w:pPr>
        <w:pStyle w:val="Caption"/>
        <w:keepNext/>
        <w:jc w:val="center"/>
      </w:pPr>
      <w:r>
        <w:t>表3  下载与计算的质量控制内容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7"/>
        <w:gridCol w:w="3685"/>
        <w:gridCol w:w="3798"/>
      </w:tblGrid>
      <w:tr>
        <w:trPr>
          <w:tblHeader/>
          <w:cantSplit/>
        </w:trPr>
        <w:tc>
          <w:tcPr>
            <w:tcW w:type="dxa" w:w="1587"/>
            <w:shd w:fill="EAEFF4"/>
          </w:tcPr>
          <w:p>
            <w:pPr>
              <w:spacing w:line="276" w:lineRule="auto" w:after="80" w:before="80"/>
              <w:ind w:firstLine="0"/>
            </w:pPr>
            <w:r>
              <w:rPr>
                <w:b/>
                <w:sz w:val="19"/>
              </w:rPr>
              <w:t>检查对象</w:t>
            </w:r>
          </w:p>
        </w:tc>
        <w:tc>
          <w:tcPr>
            <w:tcW w:type="dxa" w:w="3685"/>
            <w:shd w:fill="EAEFF4"/>
          </w:tcPr>
          <w:p>
            <w:pPr>
              <w:spacing w:line="276" w:lineRule="auto" w:after="80" w:before="80"/>
              <w:ind w:firstLine="0"/>
            </w:pPr>
            <w:r>
              <w:rPr>
                <w:b/>
                <w:sz w:val="19"/>
              </w:rPr>
              <w:t>检查内容</w:t>
            </w:r>
          </w:p>
        </w:tc>
        <w:tc>
          <w:tcPr>
            <w:tcW w:type="dxa" w:w="3798"/>
            <w:shd w:fill="EAEFF4"/>
          </w:tcPr>
          <w:p>
            <w:pPr>
              <w:spacing w:line="276" w:lineRule="auto" w:after="80" w:before="80"/>
              <w:ind w:firstLine="0"/>
            </w:pPr>
            <w:r>
              <w:rPr>
                <w:b/>
                <w:sz w:val="19"/>
              </w:rPr>
              <w:t>处理原则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任务与链接</w:t>
            </w:r>
          </w:p>
        </w:tc>
        <w:tc>
          <w:tcPr>
            <w:tcW w:type="dxa" w:w="3685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任务状态、编号、有效期及日文件日期</w:t>
            </w:r>
          </w:p>
        </w:tc>
        <w:tc>
          <w:tcPr>
            <w:tcW w:type="dxa" w:w="3798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不将部分成功结果标记为完整年度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年度日文件</w:t>
            </w:r>
          </w:p>
        </w:tc>
        <w:tc>
          <w:tcPr>
            <w:tcW w:type="dxa" w:w="3685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起止日期连续、无缺失或重复</w:t>
            </w:r>
          </w:p>
        </w:tc>
        <w:tc>
          <w:tcPr>
            <w:tcW w:type="dxa" w:w="3798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历史完整年对应365或366个日文件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日内时间</w:t>
            </w:r>
          </w:p>
        </w:tc>
        <w:tc>
          <w:tcPr>
            <w:tcW w:type="dxa" w:w="3685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UTC每3小时一个时次、顺序一致</w:t>
            </w:r>
          </w:p>
        </w:tc>
        <w:tc>
          <w:tcPr>
            <w:tcW w:type="dxa" w:w="3798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完整日应有8个时次；当前年按实际截止检查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变量与层次</w:t>
            </w:r>
          </w:p>
        </w:tc>
        <w:tc>
          <w:tcPr>
            <w:tcW w:type="dxa" w:w="3685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14个必要变量、第72层、单位和维度</w:t>
            </w:r>
          </w:p>
        </w:tc>
        <w:tc>
          <w:tcPr>
            <w:tcW w:type="dxa" w:w="3798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缺变量、层次或单位异常时暂停计算并核查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空间网格</w:t>
            </w:r>
          </w:p>
        </w:tc>
        <w:tc>
          <w:tcPr>
            <w:tcW w:type="dxa" w:w="3685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日文件经纬度一致、区域有效网格覆盖</w:t>
            </w:r>
          </w:p>
        </w:tc>
        <w:tc>
          <w:tcPr>
            <w:tcW w:type="dxa" w:w="3798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不以文件能打开代替空间一致性检查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结果数值</w:t>
            </w:r>
          </w:p>
        </w:tc>
        <w:tc>
          <w:tcPr>
            <w:tcW w:type="dxa" w:w="3685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缺失、非有限值、空气密度及异常浓度</w:t>
            </w:r>
          </w:p>
        </w:tc>
        <w:tc>
          <w:tcPr>
            <w:tcW w:type="dxa" w:w="3798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保留缺失含义；不静默填零或裁剪异常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年度输出</w:t>
            </w:r>
          </w:p>
        </w:tc>
        <w:tc>
          <w:tcPr>
            <w:tcW w:type="dxa" w:w="3685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时次总数、公式、单位及完整写入</w:t>
            </w:r>
          </w:p>
        </w:tc>
        <w:tc>
          <w:tcPr>
            <w:tcW w:type="dxa" w:w="3798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检查通过后作为完成结果保存</w:t>
            </w:r>
          </w:p>
        </w:tc>
      </w:tr>
    </w:tbl>
    <w:p>
      <w:r>
        <w:rPr>
          <w:b w:val="0"/>
        </w:rPr>
        <w:t>例如，平年完整年度应有365×8=2920个时次，闰年应有366×8=2928个时次。当前年份仅处理数据实际覆盖的日期，不因文件以年份命名就视为全年完整。</w:t>
      </w:r>
    </w:p>
    <w:p>
      <w:pPr>
        <w:pStyle w:val="Heading2"/>
      </w:pPr>
      <w:r>
        <w:t>3.4 中断、异常及可追溯性</w:t>
      </w:r>
    </w:p>
    <w:p>
      <w:r>
        <w:rPr>
          <w:b w:val="0"/>
        </w:rPr>
        <w:t>任务处理进度达到100%只表示执行结束，仍需检查最终状态和日期覆盖。NASA服务端超时或部分处理失败时，保留任务记录和已成功文件，针对缺失部分补齐；不通过放宽完整性条件掩盖缺测。临时结果链接过期后，如本地文件完整可继续使用，缺失文件则需刷新链接。</w:t>
      </w:r>
    </w:p>
    <w:p>
      <w:r>
        <w:rPr>
          <w:b w:val="0"/>
        </w:rPr>
        <w:t>程序保留区域边界校验和、请求配置、任务编号、原始文件校验信息和输出报告，使中断恢复与结果复查有据可依。具体接口异常和软件修复过程另作技术记录，不作为PM₁₀估算结果。</w:t>
      </w:r>
    </w:p>
    <w:p>
      <w:pPr>
        <w:pStyle w:val="Heading1"/>
      </w:pPr>
      <w:r>
        <w:t>4  近地面PM₁₀估算方法</w:t>
      </w:r>
    </w:p>
    <w:p>
      <w:pPr>
        <w:pStyle w:val="Heading2"/>
      </w:pPr>
      <w:r>
        <w:t>4.1 输入变量及单位</w:t>
      </w:r>
    </w:p>
    <w:p>
      <w:r>
        <w:rPr>
          <w:b w:val="0"/>
        </w:rPr>
        <w:t>从第72模式层提取空气密度及气溶胶组分质量混合比，共14个变量。所有参与计算的变量必须对应相同时间和空间位置，并核对单位、维度及缺失值定义。</w:t>
      </w:r>
    </w:p>
    <w:p>
      <w:pPr>
        <w:pStyle w:val="Caption"/>
        <w:keepNext/>
        <w:jc w:val="center"/>
      </w:pPr>
      <w:r>
        <w:t>表4  PM₁₀计算的输入变量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31"/>
        <w:gridCol w:w="4479"/>
        <w:gridCol w:w="1361"/>
      </w:tblGrid>
      <w:tr>
        <w:trPr>
          <w:tblHeader/>
          <w:cantSplit/>
        </w:trPr>
        <w:tc>
          <w:tcPr>
            <w:tcW w:type="dxa" w:w="3231"/>
            <w:shd w:fill="EAEFF4"/>
          </w:tcPr>
          <w:p>
            <w:pPr>
              <w:spacing w:line="276" w:lineRule="auto" w:after="80" w:before="80"/>
              <w:ind w:firstLine="0"/>
            </w:pPr>
            <w:r>
              <w:rPr>
                <w:b/>
                <w:sz w:val="19"/>
              </w:rPr>
              <w:t>变量名称</w:t>
            </w:r>
          </w:p>
        </w:tc>
        <w:tc>
          <w:tcPr>
            <w:tcW w:type="dxa" w:w="4479"/>
            <w:shd w:fill="EAEFF4"/>
          </w:tcPr>
          <w:p>
            <w:pPr>
              <w:spacing w:line="276" w:lineRule="auto" w:after="80" w:before="80"/>
              <w:ind w:firstLine="0"/>
            </w:pPr>
            <w:r>
              <w:rPr>
                <w:b/>
                <w:sz w:val="19"/>
              </w:rPr>
              <w:t>物理含义</w:t>
            </w:r>
          </w:p>
        </w:tc>
        <w:tc>
          <w:tcPr>
            <w:tcW w:type="dxa" w:w="1361"/>
            <w:shd w:fill="EAEFF4"/>
          </w:tcPr>
          <w:p>
            <w:pPr>
              <w:spacing w:line="276" w:lineRule="auto" w:after="80" w:before="80"/>
              <w:ind w:firstLine="0"/>
            </w:pPr>
            <w:r>
              <w:rPr>
                <w:b/>
                <w:sz w:val="19"/>
              </w:rPr>
              <w:t>单位</w:t>
            </w:r>
          </w:p>
        </w:tc>
      </w:tr>
      <w:tr>
        <w:trPr>
          <w:cantSplit/>
        </w:trPr>
        <w:tc>
          <w:tcPr>
            <w:tcW w:type="dxa" w:w="3231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AIRDENS</w:t>
            </w:r>
          </w:p>
        </w:tc>
        <w:tc>
          <w:tcPr>
            <w:tcW w:type="dxa" w:w="4479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空气密度</w:t>
            </w:r>
          </w:p>
        </w:tc>
        <w:tc>
          <w:tcPr>
            <w:tcW w:type="dxa" w:w="1361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kg m⁻³</w:t>
            </w:r>
          </w:p>
        </w:tc>
      </w:tr>
      <w:tr>
        <w:trPr>
          <w:cantSplit/>
        </w:trPr>
        <w:tc>
          <w:tcPr>
            <w:tcW w:type="dxa" w:w="3231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SO4</w:t>
            </w:r>
          </w:p>
        </w:tc>
        <w:tc>
          <w:tcPr>
            <w:tcW w:type="dxa" w:w="4479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硫酸盐气溶胶质量混合比</w:t>
            </w:r>
          </w:p>
        </w:tc>
        <w:tc>
          <w:tcPr>
            <w:tcW w:type="dxa" w:w="1361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kg kg⁻¹</w:t>
            </w:r>
          </w:p>
        </w:tc>
      </w:tr>
      <w:tr>
        <w:trPr>
          <w:cantSplit/>
        </w:trPr>
        <w:tc>
          <w:tcPr>
            <w:tcW w:type="dxa" w:w="3231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BCPHOBIC、BCPHILIC</w:t>
            </w:r>
          </w:p>
        </w:tc>
        <w:tc>
          <w:tcPr>
            <w:tcW w:type="dxa" w:w="4479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疏水性、亲水性黑碳质量混合比</w:t>
            </w:r>
          </w:p>
        </w:tc>
        <w:tc>
          <w:tcPr>
            <w:tcW w:type="dxa" w:w="1361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kg kg⁻¹</w:t>
            </w:r>
          </w:p>
        </w:tc>
      </w:tr>
      <w:tr>
        <w:trPr>
          <w:cantSplit/>
        </w:trPr>
        <w:tc>
          <w:tcPr>
            <w:tcW w:type="dxa" w:w="3231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OCPHOBIC、OCPHILIC</w:t>
            </w:r>
          </w:p>
        </w:tc>
        <w:tc>
          <w:tcPr>
            <w:tcW w:type="dxa" w:w="4479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疏水性、亲水性有机碳质量混合比</w:t>
            </w:r>
          </w:p>
        </w:tc>
        <w:tc>
          <w:tcPr>
            <w:tcW w:type="dxa" w:w="1361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kg kg⁻¹</w:t>
            </w:r>
          </w:p>
        </w:tc>
      </w:tr>
      <w:tr>
        <w:trPr>
          <w:cantSplit/>
        </w:trPr>
        <w:tc>
          <w:tcPr>
            <w:tcW w:type="dxa" w:w="3231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DU001—DU004</w:t>
            </w:r>
          </w:p>
        </w:tc>
        <w:tc>
          <w:tcPr>
            <w:tcW w:type="dxa" w:w="4479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第1至第4粒径档沙尘质量混合比</w:t>
            </w:r>
          </w:p>
        </w:tc>
        <w:tc>
          <w:tcPr>
            <w:tcW w:type="dxa" w:w="1361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kg kg⁻¹</w:t>
            </w:r>
          </w:p>
        </w:tc>
      </w:tr>
      <w:tr>
        <w:trPr>
          <w:cantSplit/>
        </w:trPr>
        <w:tc>
          <w:tcPr>
            <w:tcW w:type="dxa" w:w="3231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SS001—SS004</w:t>
            </w:r>
          </w:p>
        </w:tc>
        <w:tc>
          <w:tcPr>
            <w:tcW w:type="dxa" w:w="4479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第1至第4粒径档海盐质量混合比</w:t>
            </w:r>
          </w:p>
        </w:tc>
        <w:tc>
          <w:tcPr>
            <w:tcW w:type="dxa" w:w="1361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kg kg⁻¹</w:t>
            </w:r>
          </w:p>
        </w:tc>
      </w:tr>
    </w:tbl>
    <w:p>
      <w:pPr>
        <w:pStyle w:val="Heading2"/>
      </w:pPr>
      <w:r>
        <w:t>4.2 组分估算公式</w:t>
      </w:r>
    </w:p>
    <w:p>
      <w:r>
        <w:rPr>
          <w:b w:val="0"/>
        </w:rPr>
        <w:t>依据现有参考材料采用的组分方法，将相关气溶胶质量混合比加权求和，再乘以空气密度，得到近地面PM₁₀质量浓度。以S表示加权质量混合比，公式分行列示如下：</w:t>
      </w:r>
    </w:p>
    <w:p>
      <w:pPr>
        <w:spacing w:after="120"/>
        <w:ind w:firstLine="0"/>
        <w:jc w:val="center"/>
      </w:pPr>
      <m:oMath>
        <m:r>
          <m:t>S = 1.375×SO4 + BCPHOBIC + BCPHILIC</m:t>
        </m:r>
      </m:oMath>
    </w:p>
    <w:p>
      <w:pPr>
        <w:spacing w:after="120"/>
        <w:ind w:firstLine="0"/>
        <w:jc w:val="center"/>
      </w:pPr>
      <m:oMath>
        <m:r>
          <m:t>    + OCPHOBIC + OCPHILIC + DU001 + DU002 + DU003</m:t>
        </m:r>
      </m:oMath>
    </w:p>
    <w:p>
      <w:pPr>
        <w:spacing w:after="120"/>
        <w:ind w:firstLine="0"/>
        <w:jc w:val="center"/>
      </w:pPr>
      <m:oMath>
        <m:r>
          <m:t>    + 0.74×DU004 + SS001 + SS002 + SS003 + SS004</m:t>
        </m:r>
      </m:oMath>
    </w:p>
    <w:p>
      <w:pPr>
        <w:spacing w:after="120"/>
        <w:ind w:firstLine="0"/>
        <w:jc w:val="center"/>
      </w:pPr>
      <m:oMath>
        <m:r>
          <m:t>PM₁₀ = S × AIRDENS × 10⁹                         （1）</m:t>
        </m:r>
      </m:oMath>
    </w:p>
    <w:p>
      <w:r>
        <w:rPr>
          <w:b w:val="0"/>
        </w:rPr>
        <w:t>各质量混合比单位为kg kg⁻¹，S与AIRDENS相乘后单位为kg m⁻³，再乘以10⁹转换为μg m⁻³。当前方案中硫酸盐系数为1.375，DU004系数为0.74，其余列出的组分系数为1。代码按同一公式实现，不额外加入未明确采用的组分或系数。</w:t>
      </w:r>
    </w:p>
    <w:p>
      <w:r>
        <w:rPr>
          <w:b w:val="0"/>
        </w:rPr>
        <w:t>公式目前依据所提供学位论文第10页实施。其完整书目信息、系数原始出处及适用性仍待核实，正式定稿前补齐。因此本文称其为“当前采用的文献组分方案”，不将其表述为NASA直接提供的PM₁₀变量或官方统一计算公式。</w:t>
      </w:r>
    </w:p>
    <w:p>
      <w:pPr>
        <w:pStyle w:val="Heading2"/>
      </w:pPr>
      <w:r>
        <w:t>4.3 缺失值与异常处理</w:t>
      </w:r>
    </w:p>
    <w:p>
      <w:r>
        <w:rPr>
          <w:b w:val="0"/>
        </w:rPr>
        <w:t>必要输入缺失时，相应网格和时次的结果保留为缺失，不把缺失组分视为零。区域外掩膜、区域内缺测及异常数值分别记录。对非正空气密度等不符合物理意义的输入暂停计算并核查，不在后台静默替换；对负PM₁₀等结果核查原因，不直接裁剪为零。</w:t>
      </w:r>
    </w:p>
    <w:p>
      <w:r>
        <w:rPr>
          <w:b w:val="0"/>
        </w:rPr>
        <w:t>式（1）同时包含沙尘、海盐和其他气溶胶组分，所得为总PM₁₀估算浓度。若后续分析沙尘贡献，需要另行提取和定义沙尘组分指标；若识别沙尘事件，还需结合观测和事件判据。总PM₁₀高值本身不能直接证明发生沙尘过程。</w:t>
      </w:r>
    </w:p>
    <w:p>
      <w:pPr>
        <w:pStyle w:val="Heading1"/>
      </w:pPr>
      <w:r>
        <w:t>5  结果存储、空间匹配与时间统一</w:t>
      </w:r>
    </w:p>
    <w:p>
      <w:pPr>
        <w:pStyle w:val="Heading2"/>
      </w:pPr>
      <w:r>
        <w:t>5.1 逐时次计算和年度保存</w:t>
      </w:r>
    </w:p>
    <w:p>
      <w:r>
        <w:rPr>
          <w:b w:val="0"/>
        </w:rPr>
        <w:t>计算按日文件、按时次顺序读取所需变量，完成单个时次后写入年度文件，避免将全部年份和组分一次载入内存。中间计算采用float64，最终PM₁₀以float32存储并使用NetCDF4压缩。压缩对已存储数据是无损的，但float64转float32存在舍入，两者应区分。</w:t>
      </w:r>
    </w:p>
    <w:p>
      <w:r>
        <w:rPr>
          <w:b w:val="0"/>
        </w:rPr>
        <w:t>原始日文件与年度网格PM₁₀同时保留。NetCDF4能够组织时间、纬度和经度维度，并保存单位、缺失值、掩膜和公式说明；相较于全网格CSV展开，更适合多年网格资料的管理及按需读取。后续仅对目标点提取结果输出CSV或Parquet，减少表格规模。</w:t>
      </w:r>
    </w:p>
    <w:p>
      <w:pPr>
        <w:pStyle w:val="Caption"/>
        <w:keepNext/>
        <w:jc w:val="center"/>
      </w:pPr>
      <w:r>
        <w:t>表5  数据分层保存及用途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3572"/>
        <w:gridCol w:w="3798"/>
      </w:tblGrid>
      <w:tr>
        <w:trPr>
          <w:tblHeader/>
          <w:cantSplit/>
        </w:trPr>
        <w:tc>
          <w:tcPr>
            <w:tcW w:type="dxa" w:w="1701"/>
            <w:shd w:fill="EAEFF4"/>
          </w:tcPr>
          <w:p>
            <w:pPr>
              <w:spacing w:line="276" w:lineRule="auto" w:after="80" w:before="80"/>
              <w:ind w:firstLine="0"/>
            </w:pPr>
            <w:r>
              <w:rPr>
                <w:b/>
                <w:sz w:val="19"/>
              </w:rPr>
              <w:t>数据层次</w:t>
            </w:r>
          </w:p>
        </w:tc>
        <w:tc>
          <w:tcPr>
            <w:tcW w:type="dxa" w:w="3572"/>
            <w:shd w:fill="EAEFF4"/>
          </w:tcPr>
          <w:p>
            <w:pPr>
              <w:spacing w:line="276" w:lineRule="auto" w:after="80" w:before="80"/>
              <w:ind w:firstLine="0"/>
            </w:pPr>
            <w:r>
              <w:rPr>
                <w:b/>
                <w:sz w:val="19"/>
              </w:rPr>
              <w:t>保存方式</w:t>
            </w:r>
          </w:p>
        </w:tc>
        <w:tc>
          <w:tcPr>
            <w:tcW w:type="dxa" w:w="3798"/>
            <w:shd w:fill="EAEFF4"/>
          </w:tcPr>
          <w:p>
            <w:pPr>
              <w:spacing w:line="276" w:lineRule="auto" w:after="80" w:before="80"/>
              <w:ind w:firstLine="0"/>
            </w:pPr>
            <w:r>
              <w:rPr>
                <w:b/>
                <w:sz w:val="19"/>
              </w:rPr>
              <w:t>主要用途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任务和链接</w:t>
            </w:r>
          </w:p>
        </w:tc>
        <w:tc>
          <w:tcPr>
            <w:tcW w:type="dxa" w:w="3572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按地区／年代／年份保存JSON和TXT</w:t>
            </w:r>
          </w:p>
        </w:tc>
        <w:tc>
          <w:tcPr>
            <w:tcW w:type="dxa" w:w="3798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任务恢复、日期检查及下载入口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原始变量</w:t>
            </w:r>
          </w:p>
        </w:tc>
        <w:tc>
          <w:tcPr>
            <w:tcW w:type="dxa" w:w="3572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按地区／年份保存逐日.nc4</w:t>
            </w:r>
          </w:p>
        </w:tc>
        <w:tc>
          <w:tcPr>
            <w:tcW w:type="dxa" w:w="3798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核查组分、调整公式和复算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网格PM₁₀</w:t>
            </w:r>
          </w:p>
        </w:tc>
        <w:tc>
          <w:tcPr>
            <w:tcW w:type="dxa" w:w="3572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按地区、每年一个NetCDF4</w:t>
            </w:r>
          </w:p>
        </w:tc>
        <w:tc>
          <w:tcPr>
            <w:tcW w:type="dxa" w:w="3798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保留完整区域网格和原始3小时时次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目标位置序列</w:t>
            </w:r>
          </w:p>
        </w:tc>
        <w:tc>
          <w:tcPr>
            <w:tcW w:type="dxa" w:w="3572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按国家或省份／城市或站点组织</w:t>
            </w:r>
          </w:p>
        </w:tc>
        <w:tc>
          <w:tcPr>
            <w:tcW w:type="dxa" w:w="3798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观测配对、统计分析和成果输出</w:t>
            </w:r>
          </w:p>
        </w:tc>
      </w:tr>
    </w:tbl>
    <w:p>
      <w:pPr>
        <w:pStyle w:val="Heading2"/>
      </w:pPr>
      <w:r>
        <w:t>5.2 最近邻空间匹配</w:t>
      </w:r>
    </w:p>
    <w:p>
      <w:r>
        <w:rPr>
          <w:b w:val="0"/>
        </w:rPr>
        <w:t>后续依据目标点经纬度，以球面距离选择最近的原始网格中心，并提取相应时间序列。结果保留输入坐标、匹配网格坐标及距离。该方法已进行流程测试，最终应用仍需检查点位来源和区域覆盖。多个点位可能匹配同一网格，反映数据分辨率限制。</w:t>
      </w:r>
    </w:p>
    <w:p>
      <w:r>
        <w:rPr>
          <w:b w:val="0"/>
        </w:rPr>
        <w:t>现有city四省.xlsx包含45个城市或地级行政区代表点，其中内蒙古12个、甘肃14个、宁夏5个、新疆14个。现有字段不足以认定为空气质量监测站，本文暂称“给定代表点”。正式站点比较需核实名称、编号、坐标来源及参考系统，不能由此前气温匹配用途推定其为空气质量站。</w:t>
      </w:r>
    </w:p>
    <w:p>
      <w:r>
        <w:rPr>
          <w:b w:val="0"/>
        </w:rPr>
        <w:t>边界附近的最近网格可能位于区域掩膜之外，应检查必要网格是否被保留，必要时补充局部数据。不得以距离更远的区域内网格自动替代，而不记录这一改变。</w:t>
      </w:r>
    </w:p>
    <w:p>
      <w:pPr>
        <w:pStyle w:val="Heading2"/>
      </w:pPr>
      <w:r>
        <w:t>5.3 时间统一和输出字段</w:t>
      </w:r>
    </w:p>
    <w:p>
      <w:r>
        <w:rPr>
          <w:b w:val="0"/>
        </w:rPr>
        <w:t>网格结果保留UTC时间。国内展示可增加北京时间UTC+8；年末UTC时次转换后落入次年属于正常时区转换。跨国日均统计需要明确采用UTC日还是所在地日，不能统一套用北京时间日界。</w:t>
      </w:r>
    </w:p>
    <w:p>
      <w:r>
        <w:rPr>
          <w:b w:val="0"/>
        </w:rPr>
        <w:t>产品瞬时值、观测小时均值和观测日均值的时间含义不同，应根据观测时间戳制定配对窗口及有效比例要求。由每日8个瞬时值形成的均值应明确为“8时次均值”，不未经评估就等同于24小时观测日均值。</w:t>
      </w:r>
    </w:p>
    <w:p>
      <w:r>
        <w:rPr>
          <w:b w:val="0"/>
        </w:rPr>
        <w:t>建议输出字段为国家／省份、城市／站点及编号、目标经纬度、匹配网格经纬度、距离、UTC时间、必要的当地时间、PM₁₀和质量标识。城市多年序列如超过表格软件显示限制，可按年拆分或采用Parquet；软件行数限制不等于数据无法存储。</w:t>
      </w:r>
    </w:p>
    <w:p>
      <w:pPr>
        <w:pStyle w:val="Heading1"/>
      </w:pPr>
      <w:r>
        <w:t>6  地面观测比较方案</w:t>
      </w:r>
    </w:p>
    <w:p>
      <w:pPr>
        <w:pStyle w:val="Heading2"/>
      </w:pPr>
      <w:r>
        <w:t>6.1 比较对象与数据准备</w:t>
      </w:r>
    </w:p>
    <w:p>
      <w:r>
        <w:rPr>
          <w:b w:val="0"/>
        </w:rPr>
        <w:t>若观测为单站资料，使用该站坐标提取；若为城市平均浓度，需记录参与站点及平均方法。城市代表点对应网格与城市平均值的比较可以作为探索性分析，但需说明空间代表性差异。国外资料同样应核查污染物类型，避免将气象站或仅提供PM₂.₅的站点作为PM₁₀观测源。</w:t>
      </w:r>
    </w:p>
    <w:p>
      <w:r>
        <w:rPr>
          <w:b w:val="0"/>
        </w:rPr>
        <w:t>配对前统一浓度单位和时间基准，核查观测质量标识、缺测、站点迁移及温压换算定义。缺失值不填零；本阶段不预设对PM₁₀缺测进行线性插值，以免改变污染高值过程。只有满足统一质量规则的配对进入评价，并报告各位置的有效样本数及覆盖时段。</w:t>
      </w:r>
    </w:p>
    <w:p>
      <w:pPr>
        <w:pStyle w:val="Heading2"/>
      </w:pPr>
      <w:r>
        <w:t>6.2 指标与图表</w:t>
      </w:r>
    </w:p>
    <w:p>
      <w:r>
        <w:rPr>
          <w:b w:val="0"/>
        </w:rPr>
        <w:t>令Mᵢ为第i组配对中的MERRA-2估算值，Oᵢ为观测值，N为有效配对数。拟采用平均偏差（MB）、平均绝对误差（MAE）、均方根误差（RMSE）和相关系数r，从系统偏差、误差幅度及变化一致性评价。</w:t>
      </w:r>
    </w:p>
    <w:p>
      <w:pPr>
        <w:spacing w:after="120"/>
        <w:ind w:firstLine="0"/>
        <w:jc w:val="center"/>
      </w:pPr>
      <m:oMath>
        <m:r>
          <m:t>MB = (1/N) Σᵢ₌₁ᴺ (Mᵢ − Oᵢ)                         （2）</m:t>
        </m:r>
      </m:oMath>
    </w:p>
    <w:p>
      <w:pPr>
        <w:spacing w:after="120"/>
        <w:ind w:firstLine="0"/>
        <w:jc w:val="center"/>
      </w:pPr>
      <m:oMath>
        <m:r>
          <m:t>MAE = (1/N) Σᵢ₌₁ᴺ |Mᵢ − Oᵢ|                       （3）</m:t>
        </m:r>
      </m:oMath>
    </w:p>
    <w:p>
      <w:pPr>
        <w:spacing w:after="120"/>
        <w:ind w:firstLine="0"/>
        <w:jc w:val="center"/>
      </w:pPr>
      <m:oMath>
        <m:r>
          <m:t>RMSE = √[(1/N) Σᵢ₌₁ᴺ (Mᵢ − Oᵢ)²]                 （4）</m:t>
        </m:r>
      </m:oMath>
    </w:p>
    <w:p>
      <w:r>
        <w:rPr>
          <w:b w:val="0"/>
        </w:rPr>
        <w:t>MB为正表示整体偏高，负值表示整体偏低；MAE和RMSE均以μg m⁻³表示，后者对大误差更敏感。相关系数用于评价变化一致性，不代替浓度偏差评价。样本过少或某一序列无变化时不强行计算r。</w:t>
      </w:r>
    </w:p>
    <w:p>
      <w:pPr>
        <w:pStyle w:val="Caption"/>
        <w:keepNext/>
        <w:jc w:val="center"/>
      </w:pPr>
      <w:r>
        <w:t>表6  拟形成的比较成果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3628"/>
        <w:gridCol w:w="3742"/>
      </w:tblGrid>
      <w:tr>
        <w:trPr>
          <w:tblHeader/>
          <w:cantSplit/>
        </w:trPr>
        <w:tc>
          <w:tcPr>
            <w:tcW w:type="dxa" w:w="1701"/>
            <w:shd w:fill="EAEFF4"/>
          </w:tcPr>
          <w:p>
            <w:pPr>
              <w:spacing w:line="276" w:lineRule="auto" w:after="80" w:before="80"/>
              <w:ind w:firstLine="0"/>
            </w:pPr>
            <w:r>
              <w:rPr>
                <w:b/>
                <w:sz w:val="19"/>
              </w:rPr>
              <w:t>成果</w:t>
            </w:r>
          </w:p>
        </w:tc>
        <w:tc>
          <w:tcPr>
            <w:tcW w:type="dxa" w:w="3628"/>
            <w:shd w:fill="EAEFF4"/>
          </w:tcPr>
          <w:p>
            <w:pPr>
              <w:spacing w:line="276" w:lineRule="auto" w:after="80" w:before="80"/>
              <w:ind w:firstLine="0"/>
            </w:pPr>
            <w:r>
              <w:rPr>
                <w:b/>
                <w:sz w:val="19"/>
              </w:rPr>
              <w:t>主要内容</w:t>
            </w:r>
          </w:p>
        </w:tc>
        <w:tc>
          <w:tcPr>
            <w:tcW w:type="dxa" w:w="3742"/>
            <w:shd w:fill="EAEFF4"/>
          </w:tcPr>
          <w:p>
            <w:pPr>
              <w:spacing w:line="276" w:lineRule="auto" w:after="80" w:before="80"/>
              <w:ind w:firstLine="0"/>
            </w:pPr>
            <w:r>
              <w:rPr>
                <w:b/>
                <w:sz w:val="19"/>
              </w:rPr>
              <w:t>对应问题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时间序列图</w:t>
            </w:r>
          </w:p>
        </w:tc>
        <w:tc>
          <w:tcPr>
            <w:tcW w:type="dxa" w:w="3628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同位置、同尺度的估算与观测变化</w:t>
            </w:r>
          </w:p>
        </w:tc>
        <w:tc>
          <w:tcPr>
            <w:tcW w:type="dxa" w:w="3742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季节变化和污染过程是否一致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散点图</w:t>
            </w:r>
          </w:p>
        </w:tc>
        <w:tc>
          <w:tcPr>
            <w:tcW w:type="dxa" w:w="3628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估算值与观测值、1∶1参考线</w:t>
            </w:r>
          </w:p>
        </w:tc>
        <w:tc>
          <w:tcPr>
            <w:tcW w:type="dxa" w:w="3742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有无整体偏差及高值偏离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指标汇总表</w:t>
            </w:r>
          </w:p>
        </w:tc>
        <w:tc>
          <w:tcPr>
            <w:tcW w:type="dxa" w:w="3628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N、有效时段、MB、MAE、RMSE、r</w:t>
            </w:r>
          </w:p>
        </w:tc>
        <w:tc>
          <w:tcPr>
            <w:tcW w:type="dxa" w:w="3742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不同位置的误差和样本覆盖差异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分组分析</w:t>
            </w:r>
          </w:p>
        </w:tc>
        <w:tc>
          <w:tcPr>
            <w:tcW w:type="dxa" w:w="3628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季节或明确判据下的高浓度过程</w:t>
            </w:r>
          </w:p>
        </w:tc>
        <w:tc>
          <w:tcPr>
            <w:tcW w:type="dxa" w:w="3742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方法适用条件与过程差异</w:t>
            </w:r>
          </w:p>
        </w:tc>
      </w:tr>
    </w:tbl>
    <w:p>
      <w:pPr>
        <w:pStyle w:val="Heading2"/>
      </w:pPr>
      <w:r>
        <w:t>6.3 结果解释原则</w:t>
      </w:r>
    </w:p>
    <w:p>
      <w:r>
        <w:rPr>
          <w:b w:val="0"/>
        </w:rPr>
        <w:t>差异可能涉及网格尺度、复杂地形、局地排放、近地面层高度、时间抽样和组分参数化等。分析应结合具体证据，避免把所有差异归于单一原因。目前尚无完整、经核查的地面PM₁₀配对结果，本节为评价方案，不能提前写入“准确性较高”等结果性结论。</w:t>
      </w:r>
    </w:p>
    <w:p>
      <w:pPr>
        <w:pStyle w:val="Heading1"/>
      </w:pPr>
      <w:r>
        <w:t>7  当前进展、待核实事项与后续安排</w:t>
      </w:r>
    </w:p>
    <w:p>
      <w:pPr>
        <w:pStyle w:val="Heading2"/>
      </w:pPr>
      <w:r>
        <w:t>7.1 当前完成情况</w:t>
      </w:r>
    </w:p>
    <w:p>
      <w:r>
        <w:rPr>
          <w:b w:val="0"/>
        </w:rPr>
        <w:t>已完成产品与变量选择，建立区域子集链接获取、日文件下载及逐时次PM₁₀计算流程，并开展完整年度和给定坐标提取测试。多区域、多年份任务正在推进，完成范围需以年度文件和运行记录逐项统计。</w:t>
      </w:r>
    </w:p>
    <w:p>
      <w:pPr>
        <w:pStyle w:val="Caption"/>
        <w:keepNext/>
        <w:jc w:val="center"/>
      </w:pPr>
      <w:r>
        <w:t>表7  现阶段工作及证据边界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57"/>
        <w:gridCol w:w="3685"/>
        <w:gridCol w:w="3628"/>
      </w:tblGrid>
      <w:tr>
        <w:trPr>
          <w:tblHeader/>
          <w:cantSplit/>
        </w:trPr>
        <w:tc>
          <w:tcPr>
            <w:tcW w:type="dxa" w:w="1757"/>
            <w:shd w:fill="EAEFF4"/>
          </w:tcPr>
          <w:p>
            <w:pPr>
              <w:spacing w:line="276" w:lineRule="auto" w:after="80" w:before="80"/>
              <w:ind w:firstLine="0"/>
            </w:pPr>
            <w:r>
              <w:rPr>
                <w:b/>
                <w:sz w:val="19"/>
              </w:rPr>
              <w:t>工作环节</w:t>
            </w:r>
          </w:p>
        </w:tc>
        <w:tc>
          <w:tcPr>
            <w:tcW w:type="dxa" w:w="3685"/>
            <w:shd w:fill="EAEFF4"/>
          </w:tcPr>
          <w:p>
            <w:pPr>
              <w:spacing w:line="276" w:lineRule="auto" w:after="80" w:before="80"/>
              <w:ind w:firstLine="0"/>
            </w:pPr>
            <w:r>
              <w:rPr>
                <w:b/>
                <w:sz w:val="19"/>
              </w:rPr>
              <w:t>当前进展</w:t>
            </w:r>
          </w:p>
        </w:tc>
        <w:tc>
          <w:tcPr>
            <w:tcW w:type="dxa" w:w="3628"/>
            <w:shd w:fill="EAEFF4"/>
          </w:tcPr>
          <w:p>
            <w:pPr>
              <w:spacing w:line="276" w:lineRule="auto" w:after="80" w:before="80"/>
              <w:ind w:firstLine="0"/>
            </w:pPr>
            <w:r>
              <w:rPr>
                <w:b/>
                <w:sz w:val="19"/>
              </w:rPr>
              <w:t>尚需完成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数据选择</w:t>
            </w:r>
          </w:p>
        </w:tc>
        <w:tc>
          <w:tcPr>
            <w:tcW w:type="dxa" w:w="3685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产品、层次和14变量已确定；产品标识与DOI核对</w:t>
            </w:r>
          </w:p>
        </w:tc>
        <w:tc>
          <w:tcPr>
            <w:tcW w:type="dxa" w:w="3628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补齐方法原始文献及变量适用性核查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年度处理流程</w:t>
            </w:r>
          </w:p>
        </w:tc>
        <w:tc>
          <w:tcPr>
            <w:tcW w:type="dxa" w:w="3685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蒙古国2024年366日、2928时次处理完成</w:t>
            </w:r>
          </w:p>
        </w:tc>
        <w:tc>
          <w:tcPr>
            <w:tcW w:type="dxa" w:w="3628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逐区域逐年盘点并检查区域内缺失和异常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多年数据获取</w:t>
            </w:r>
          </w:p>
        </w:tc>
        <w:tc>
          <w:tcPr>
            <w:tcW w:type="dxa" w:w="3685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自动化获取和恢复流程已建立，任务持续推进</w:t>
            </w:r>
          </w:p>
        </w:tc>
        <w:tc>
          <w:tcPr>
            <w:tcW w:type="dxa" w:w="3628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补齐失败任务及未完成年份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位置提取</w:t>
            </w:r>
          </w:p>
        </w:tc>
        <w:tc>
          <w:tcPr>
            <w:tcW w:type="dxa" w:w="3685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给定坐标的匹配流程已开展测试</w:t>
            </w:r>
          </w:p>
        </w:tc>
        <w:tc>
          <w:tcPr>
            <w:tcW w:type="dxa" w:w="3628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确认代表点或站点身份、坐标和覆盖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观测比较</w:t>
            </w:r>
          </w:p>
        </w:tc>
        <w:tc>
          <w:tcPr>
            <w:tcW w:type="dxa" w:w="3685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评价框架与指标已提出</w:t>
            </w:r>
          </w:p>
        </w:tc>
        <w:tc>
          <w:tcPr>
            <w:tcW w:type="dxa" w:w="3628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获取并核查地面资料，实际配对及计算指标</w:t>
            </w:r>
          </w:p>
        </w:tc>
      </w:tr>
    </w:tbl>
    <w:p>
      <w:r>
        <w:rPr>
          <w:b w:val="0"/>
        </w:rPr>
        <w:t>蒙古国2024年的运行结果为366个日文件、2928个时次，年度文件约6.30 MiB。该数值仅为当前区域和配置下的实际示例，不用于推定其他国家体积或下载耗时。它证明整年流程完成，不证明浓度估算已经通过地面观测验证。</w:t>
      </w:r>
    </w:p>
    <w:p>
      <w:pPr>
        <w:pStyle w:val="Heading2"/>
      </w:pPr>
      <w:r>
        <w:t>7.2 关键待核实事项</w:t>
      </w:r>
    </w:p>
    <w:p>
      <w:r>
        <w:rPr>
          <w:b w:val="0"/>
        </w:rPr>
        <w:t>第一，补齐PM₁₀公式文献书目信息和系数原始出处。第二，核实45个给定代表点的来源、坐标格式和参考系统。第三，明确国内外观测数据的污染物、站点／城市定义、有效年份及时间统计尺度。第四，盘点实际完成的数据范围，区分完整历史年、当前年阶段结果与尚缺年份。</w:t>
      </w:r>
    </w:p>
    <w:p>
      <w:pPr>
        <w:pStyle w:val="Heading2"/>
      </w:pPr>
      <w:r>
        <w:t>7.3 后续工作安排</w:t>
      </w:r>
    </w:p>
    <w:p>
      <w:r>
        <w:rPr>
          <w:b w:val="0"/>
        </w:rPr>
        <w:t>（1）形成“地区—年份—链接—原始日文件—年度PM₁₀”的完成情况台账，补齐缺失数据。</w:t>
      </w:r>
    </w:p>
    <w:p>
      <w:r>
        <w:rPr>
          <w:b w:val="0"/>
        </w:rPr>
        <w:t>（2）抽查原始组分与PM₁₀计算结果，检查时间连续性、区域覆盖及异常值。</w:t>
      </w:r>
    </w:p>
    <w:p>
      <w:r>
        <w:rPr>
          <w:b w:val="0"/>
        </w:rPr>
        <w:t>（3）确认点位与观测资料后，选择资料较完整的地区和年份完成首轮配对。</w:t>
      </w:r>
    </w:p>
    <w:p>
      <w:r>
        <w:rPr>
          <w:b w:val="0"/>
        </w:rPr>
        <w:t>（4）形成时间序列、散点图和评价指标表，再分析季节和高浓度过程差异。</w:t>
      </w:r>
    </w:p>
    <w:p>
      <w:r>
        <w:rPr>
          <w:b w:val="0"/>
        </w:rPr>
        <w:t>（5）在上述方法确认后扩展到更多年份和位置，并按城市或站点组织多年序列。</w:t>
      </w:r>
    </w:p>
    <w:p>
      <w:r>
        <w:rPr>
          <w:b w:val="0"/>
        </w:rPr>
        <w:t>本阶段的主要成果是形成可追溯、可复用的数据获取与PM₁₀估算流程。下一阶段重点从“流程完成”转向“观测评价”，通过实际配对数据判断估算结果的适用范围与局限。</w:t>
      </w:r>
    </w:p>
    <w:p>
      <w:r>
        <w:br w:type="page"/>
      </w:r>
    </w:p>
    <w:p>
      <w:pPr>
        <w:pStyle w:val="Heading1"/>
      </w:pPr>
      <w:r>
        <w:t>参考文献与资料来源</w:t>
      </w:r>
    </w:p>
    <w:p>
      <w:pPr>
        <w:spacing w:after="180"/>
        <w:ind w:firstLine="0"/>
      </w:pPr>
      <w:r>
        <w:rPr>
          <w:b w:val="0"/>
        </w:rPr>
        <w:t>[1] Global Modeling and Assimilation Office (GMAO). MERRA-2 inst3_3d_aer_Nv: 3d, 3-Hourly, Instantaneous, Model-Level, Assimilation, Aerosol Mixing Ratio V5.12.4 (M2I3NVAER)[DS]. Greenbelt, MD: NASA Goddard Earth Sciences Data and Information Services Center, 2015. DOI: 10.5067/LTVB4GPCOTK2.</w:t>
      </w:r>
    </w:p>
    <w:p>
      <w:pPr>
        <w:spacing w:after="180"/>
        <w:ind w:firstLine="0"/>
      </w:pPr>
      <w:r>
        <w:rPr>
          <w:b w:val="0"/>
        </w:rPr>
        <w:t>[2] Gelaro R, McCarty W, Suárez M J, et al. The Modern-Era Retrospective Analysis for Research and Applications, Version 2 (MERRA-2)[J]. Journal of Climate, 2017, 30(14): 5419–5454. DOI: 10.1175/JCLI-D-16-0758.1.</w:t>
      </w:r>
    </w:p>
    <w:p>
      <w:pPr>
        <w:spacing w:after="180"/>
        <w:ind w:firstLine="0"/>
      </w:pPr>
      <w:r>
        <w:rPr>
          <w:b w:val="0"/>
        </w:rPr>
        <w:t>[3] Randles C A, da Silva A M, Buchard V, et al. The MERRA-2 Aerosol Reanalysis, 1980 Onward. Part I: System Description and Data Assimilation Evaluation[J]. Journal of Climate, 2017, 30(17): 6823–6850. DOI: 10.1175/JCLI-D-16-0609.1.</w:t>
      </w:r>
    </w:p>
    <w:p>
      <w:pPr>
        <w:spacing w:after="180"/>
        <w:ind w:firstLine="0"/>
      </w:pPr>
      <w:r>
        <w:rPr>
          <w:b w:val="0"/>
        </w:rPr>
        <w:t>[4] Natural Earth. Admin 0 – Countries, 1:50m, v5.1.2[DS/OL]. 实际采用文件：https://raw.githubusercontent.com/nvkelso/natural-earth-vector/v5.1.2/geojson/ne_50m_admin_0_countries.geojson.</w:t>
      </w:r>
    </w:p>
    <w:p>
      <w:pPr>
        <w:spacing w:after="180"/>
        <w:ind w:firstLine="0"/>
      </w:pPr>
      <w:r>
        <w:rPr>
          <w:b w:val="0"/>
        </w:rPr>
        <w:t>[5] geoBoundaries. CHN ADM1, gbOpen[DS/OL]. 采用提交5c25134028196d43ce97b5071934fd0cfc92f09f下的releaseData/gbOpen/CHN/ADM1/geoBoundaries-CHN-ADM1.geojson。</w:t>
      </w:r>
    </w:p>
    <w:p>
      <w:pPr>
        <w:ind w:firstLine="0"/>
      </w:pPr>
      <w:r>
        <w:rPr>
          <w:b w:val="0"/>
        </w:rPr>
        <w:t>公式来源待补：现有材料为北京大学硕士学位论文第10页。作者、题名、年份及其所引系数原始资料尚待确认，未将其编造为完整参考文献。</w:t>
      </w:r>
    </w:p>
    <w:p>
      <w:pPr>
        <w:pStyle w:val="Heading2"/>
      </w:pPr>
      <w:r>
        <w:t>附录A  复现所需记录</w:t>
      </w:r>
    </w:p>
    <w:p>
      <w:pPr>
        <w:ind w:firstLine="0"/>
      </w:pPr>
      <w:r>
        <w:rPr>
          <w:b w:val="0"/>
        </w:rPr>
        <w:t>A1. 产品：M2I3NVAER 5.12.4；CMR集合C1276812882-GES_DISC。产品名、时间性质、层次和DOI已于2026-10-21通过NASA CMR元数据核对。</w:t>
      </w:r>
    </w:p>
    <w:p>
      <w:pPr>
        <w:ind w:firstLine="0"/>
      </w:pPr>
      <w:r>
        <w:rPr>
          <w:b w:val="0"/>
        </w:rPr>
        <w:t>A2. 国界：Natural Earth v5.1.2；源文件SHA-256为3e458fc036ad0a66411f2c1e6cac49c5d7bfb81cb1123bc513b22511a2b7fdeb。</w:t>
      </w:r>
    </w:p>
    <w:p>
      <w:pPr>
        <w:ind w:firstLine="0"/>
      </w:pPr>
      <w:r>
        <w:rPr>
          <w:b w:val="0"/>
        </w:rPr>
        <w:t>A3. 国内省界：geoBoundaries固定提交同参考文献[5]；源文件SHA-256为3a00467a0db9b4136facb5f2f3d0edbfd96adb15651cfdf63991da9281030e85。</w:t>
      </w:r>
    </w:p>
    <w:p>
      <w:pPr>
        <w:ind w:firstLine="0"/>
      </w:pPr>
      <w:r>
        <w:rPr>
          <w:b w:val="0"/>
        </w:rPr>
        <w:t>A4. 计算：保存请求时间、14变量、lev=72、公式、程序版本、原始文件校验信息、时间／空间／数值检查报告及年度输出元数据。</w:t>
      </w:r>
    </w:p>
    <w:p>
      <w:pPr>
        <w:ind w:firstLine="0"/>
      </w:pPr>
      <w:r>
        <w:rPr>
          <w:b w:val="0"/>
        </w:rPr>
        <w:t>A5. 匹配：保存目标坐标、坐标来源与参考系统、网格坐标、距离、时间换算规则、观测来源及质量筛选规则。账号密码和授权令牌不写入研究结果。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361" w:bottom="1247" w:left="1474" w:header="624" w:footer="62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sz w:val="18"/>
      </w:rPr>
      <w:t xml:space="preserve">第 </w:t>
    </w:r>
    <w:fldSimple w:instr="PAGE"/>
    <w:r>
      <w:rPr>
        <w:sz w:val="18"/>
      </w:rPr>
      <w:t xml:space="preserve"> 页 / 共 </w:t>
    </w:r>
    <w:fldSimple w:instr="NUMPAGES"/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sz w:val="18"/>
      </w:rPr>
      <w:t>MERRA-2数据获取与近地面PM₁₀估算｜阶段性报告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  <w:ind w:firstLine="440"/>
    </w:pPr>
    <w:rPr>
      <w:rFonts w:ascii="Times New Roman" w:hAnsi="Times New Roman" w:eastAsia="宋体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ind w:firstLine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ind w:firstLine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200"/>
      <w:ind w:firstLine="0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ind w:firstLine="0"/>
    </w:pPr>
    <w:rPr>
      <w:rFonts w:ascii="Times New Roman" w:hAnsi="Times New Roman" w:eastAsia="宋体"/>
      <w:b w:val="0"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MERRA-2气溶胶数据获取与近地面PM10估算阶段性报告</dc:title>
  <dc:subject>研究数据、获取方法、PM10估算、匹配及观测比较方案</dc:subject>
  <dc:creator/>
  <cp:keywords>MERRA-2; M2I3NVAER; PM10; NetCDF4; 数据质量控制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2.0</cp:version>
</cp:coreProperties>
</file>