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  MERRA-2数据介绍</w:t>
      </w:r>
    </w:p>
    <w:p>
      <w:r>
        <w:rPr>
          <w:b w:val="0"/>
        </w:rPr>
        <w:t>本研究拟利用MERRA-2气溶胶再分析资料构建研究区域近地面PM₁₀数据，为后续位置提取和地面观测比较提供统一的数据基础。数据选择需要同时满足气溶胶组分可用于浓度估算、具有近地面垂直信息，以及时间和空间覆盖能够支持跨区域分析三个条件。基于这些要求，本阶段选用M2I3NVAER 5.12.4产品，并保留其原始网格和3小时时间分辨率。</w:t>
      </w:r>
    </w:p>
    <w:p>
      <w:pPr>
        <w:pStyle w:val="Heading2"/>
      </w:pPr>
      <w:r>
        <w:t>1.1 数据来源与基本性质</w:t>
      </w:r>
    </w:p>
    <w:p>
      <w:r>
        <w:rPr>
          <w:b w:val="0"/>
        </w:rPr>
        <w:t>MERRA-2（Modern-Era Retrospective Analysis for Research and Applications, Version 2）是美国国家航空航天局（NASA）全球建模与同化办公室（GMAO）开发的第二代现代时期研究与应用回顾分析资料，由Goddard Earth Observing System（GEOS）模式及资料同化系统生成，并通过NASA Goddard Earth Sciences Data and Information Services Center（GES DISC）提供访问与分发[1—3]。</w:t>
      </w:r>
    </w:p>
    <w:p>
      <w:r>
        <w:rPr>
          <w:b w:val="0"/>
        </w:rPr>
        <w:t>再分析资料通过数值模式与观测约束形成连续的时间和空间场，适合用于长期变化和区域比较。对于气溶胶研究，MERRA-2能够提供硫酸盐、黑碳、有机碳、沙尘和海盐等组分信息，以及相关大气状态变量，因此可作为组分法估算近地面颗粒物浓度的数据基础。其数值代表模式网格上的大气状态，与单个监测站的采样位置和代表范围不同，后续需要通过地面观测评价。</w:t>
      </w:r>
    </w:p>
    <w:p>
      <w:pPr>
        <w:pStyle w:val="Heading2"/>
      </w:pPr>
      <w:r>
        <w:t>1.2 所用产品及其时空特征</w:t>
      </w:r>
    </w:p>
    <w:p>
      <w:r>
        <w:rPr>
          <w:b w:val="0"/>
        </w:rPr>
        <w:t>本研究使用的产品简称为M2I3NVAER，版本为5.12.4，对应文件产品标识inst3_3d_aer_Nv。该产品为三维、3小时、瞬时、模式层气溶胶质量混合比产品。产品及关键参数见表1，其中水平网格间距按“经度×纬度”列示[1]。</w:t>
      </w:r>
    </w:p>
    <w:p>
      <w:pPr>
        <w:pStyle w:val="Caption"/>
        <w:keepNext/>
        <w:jc w:val="center"/>
      </w:pPr>
      <w:r>
        <w:t>表1  M2I3NVAER产品的主要信息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rPr>
          <w:tblHeader/>
          <w:cantSplit/>
        </w:trPr>
        <w:tc>
          <w:tcPr>
            <w:tcW w:type="dxa" w:w="2268"/>
            <w:shd w:fill="EAEFF4"/>
          </w:tcPr>
          <w:p>
            <w:pPr>
              <w:spacing w:line="276" w:lineRule="auto" w:after="80" w:before="80"/>
              <w:ind w:firstLine="0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6803"/>
            <w:shd w:fill="EAEFF4"/>
          </w:tcPr>
          <w:p>
            <w:pPr>
              <w:spacing w:line="276" w:lineRule="auto" w:after="80" w:before="80"/>
              <w:ind w:firstLine="0"/>
            </w:pPr>
            <w:r>
              <w:rPr>
                <w:b/>
                <w:sz w:val="19"/>
              </w:rPr>
              <w:t>详细信息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产品简称／版本</w:t>
            </w:r>
          </w:p>
        </w:tc>
        <w:tc>
          <w:tcPr>
            <w:tcW w:type="dxa" w:w="6803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M2I3NVAER／5.12.4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文件产品标识</w:t>
            </w:r>
          </w:p>
        </w:tc>
        <w:tc>
          <w:tcPr>
            <w:tcW w:type="dxa" w:w="6803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inst3_3d_aer_Nv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主要物理量</w:t>
            </w:r>
          </w:p>
        </w:tc>
        <w:tc>
          <w:tcPr>
            <w:tcW w:type="dxa" w:w="6803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气溶胶组分质量混合比及相关状态变量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产品时间覆盖</w:t>
            </w:r>
          </w:p>
        </w:tc>
        <w:tc>
          <w:tcPr>
            <w:tcW w:type="dxa" w:w="6803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自1980年起；最新可用日期随数据发布更新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时间分辨率与性质</w:t>
            </w:r>
          </w:p>
        </w:tc>
        <w:tc>
          <w:tcPr>
            <w:tcW w:type="dxa" w:w="6803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3小时瞬时值，每日8个时次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每日UTC时次</w:t>
            </w:r>
          </w:p>
        </w:tc>
        <w:tc>
          <w:tcPr>
            <w:tcW w:type="dxa" w:w="6803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00、03、06、09、12、15、18、21时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空间覆盖</w:t>
            </w:r>
          </w:p>
        </w:tc>
        <w:tc>
          <w:tcPr>
            <w:tcW w:type="dxa" w:w="6803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全球规则经纬度网格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水平网格间距</w:t>
            </w:r>
          </w:p>
        </w:tc>
        <w:tc>
          <w:tcPr>
            <w:tcW w:type="dxa" w:w="6803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经度0.625° × 纬度0.5°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全球水平网格数</w:t>
            </w:r>
          </w:p>
        </w:tc>
        <w:tc>
          <w:tcPr>
            <w:tcW w:type="dxa" w:w="6803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576个经度格点 × 361个纬度格点；区域子集另计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垂直坐标</w:t>
            </w:r>
          </w:p>
        </w:tc>
        <w:tc>
          <w:tcPr>
            <w:tcW w:type="dxa" w:w="6803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72个模式层；第1层位于顶部，第72层最接近地面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文件组织与格式</w:t>
            </w:r>
          </w:p>
        </w:tc>
        <w:tc>
          <w:tcPr>
            <w:tcW w:type="dxa" w:w="6803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通常按日组织；NetCDF4，扩展名通常为.nc4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产品DOI</w:t>
            </w:r>
          </w:p>
        </w:tc>
        <w:tc>
          <w:tcPr>
            <w:tcW w:type="dxa" w:w="6803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10.5067/LTVB4GPCOTK2</w:t>
            </w:r>
          </w:p>
        </w:tc>
      </w:tr>
    </w:tbl>
    <w:p>
      <w:r>
        <w:rPr>
          <w:b w:val="0"/>
        </w:rPr>
        <w:t>时间和垂直坐标直接决定后续数据的解释方式。首先，每个时次为瞬时值，不能直接称为相邻3小时的平均浓度。其次，第72层为底部模式层，可用于本研究的近地面估算，但不是固定离地高度或固定气压层，不能等同于地面仪器采样高度。再次，产品更新存在发布滞后，研究截止日期应以NASA目录实际提供的数据为准，不将当前年份默认视为完整全年。</w:t>
      </w:r>
    </w:p>
    <w:p>
      <w:pPr>
        <w:pStyle w:val="Heading2"/>
      </w:pPr>
      <w:r>
        <w:t>1.3 本研究选取的变量与范围</w:t>
      </w:r>
    </w:p>
    <w:p>
      <w:r>
        <w:rPr>
          <w:b w:val="0"/>
        </w:rPr>
        <w:t>为支持后续PM₁₀估算，本阶段选取第72模式层的14个变量，包括空气密度，以及硫酸盐、黑碳、有机碳、部分粒径档沙尘和海盐的质量混合比。质量混合比表示单位质量空气中相应组分的质量，尚不是单位体积空气中的浓度；空气密度用于后续质量混合比与质量浓度之间的换算。变量选择及单位见表2，具体组分权重另在计算方法部分说明。</w:t>
      </w:r>
    </w:p>
    <w:p>
      <w:pPr>
        <w:pStyle w:val="Caption"/>
        <w:keepNext/>
        <w:jc w:val="center"/>
      </w:pPr>
      <w:r>
        <w:t>表2  本研究获取的14个变量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8"/>
        <w:gridCol w:w="4422"/>
        <w:gridCol w:w="1361"/>
      </w:tblGrid>
      <w:tr>
        <w:trPr>
          <w:tblHeader/>
          <w:cantSplit/>
        </w:trPr>
        <w:tc>
          <w:tcPr>
            <w:tcW w:type="dxa" w:w="3288"/>
            <w:shd w:fill="EAEFF4"/>
          </w:tcPr>
          <w:p>
            <w:pPr>
              <w:spacing w:line="276" w:lineRule="auto" w:after="80" w:before="80"/>
              <w:ind w:firstLine="0"/>
            </w:pPr>
            <w:r>
              <w:rPr>
                <w:b/>
                <w:sz w:val="19"/>
              </w:rPr>
              <w:t>变量名称</w:t>
            </w:r>
          </w:p>
        </w:tc>
        <w:tc>
          <w:tcPr>
            <w:tcW w:type="dxa" w:w="4422"/>
            <w:shd w:fill="EAEFF4"/>
          </w:tcPr>
          <w:p>
            <w:pPr>
              <w:spacing w:line="276" w:lineRule="auto" w:after="80" w:before="80"/>
              <w:ind w:firstLine="0"/>
            </w:pPr>
            <w:r>
              <w:rPr>
                <w:b/>
                <w:sz w:val="19"/>
              </w:rPr>
              <w:t>物理含义</w:t>
            </w:r>
          </w:p>
        </w:tc>
        <w:tc>
          <w:tcPr>
            <w:tcW w:type="dxa" w:w="1361"/>
            <w:shd w:fill="EAEFF4"/>
          </w:tcPr>
          <w:p>
            <w:pPr>
              <w:spacing w:line="276" w:lineRule="auto" w:after="80" w:before="80"/>
              <w:ind w:firstLine="0"/>
            </w:pPr>
            <w:r>
              <w:rPr>
                <w:b/>
                <w:sz w:val="19"/>
              </w:rPr>
              <w:t>单位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AIRDENS</w:t>
            </w:r>
          </w:p>
        </w:tc>
        <w:tc>
          <w:tcPr>
            <w:tcW w:type="dxa" w:w="4422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空气密度</w:t>
            </w:r>
          </w:p>
        </w:tc>
        <w:tc>
          <w:tcPr>
            <w:tcW w:type="dxa" w:w="1361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kg m⁻³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SO4</w:t>
            </w:r>
          </w:p>
        </w:tc>
        <w:tc>
          <w:tcPr>
            <w:tcW w:type="dxa" w:w="4422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硫酸盐气溶胶质量混合比</w:t>
            </w:r>
          </w:p>
        </w:tc>
        <w:tc>
          <w:tcPr>
            <w:tcW w:type="dxa" w:w="1361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kg kg⁻¹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BCPHOBIC、BCPHILIC</w:t>
            </w:r>
          </w:p>
        </w:tc>
        <w:tc>
          <w:tcPr>
            <w:tcW w:type="dxa" w:w="4422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疏水性、亲水性黑碳质量混合比</w:t>
            </w:r>
          </w:p>
        </w:tc>
        <w:tc>
          <w:tcPr>
            <w:tcW w:type="dxa" w:w="1361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kg kg⁻¹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OCPHOBIC、OCPHILIC</w:t>
            </w:r>
          </w:p>
        </w:tc>
        <w:tc>
          <w:tcPr>
            <w:tcW w:type="dxa" w:w="4422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疏水性、亲水性有机碳质量混合比</w:t>
            </w:r>
          </w:p>
        </w:tc>
        <w:tc>
          <w:tcPr>
            <w:tcW w:type="dxa" w:w="1361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kg kg⁻¹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DU001—DU004</w:t>
            </w:r>
          </w:p>
        </w:tc>
        <w:tc>
          <w:tcPr>
            <w:tcW w:type="dxa" w:w="4422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第1至第4粒径档沙尘质量混合比</w:t>
            </w:r>
          </w:p>
        </w:tc>
        <w:tc>
          <w:tcPr>
            <w:tcW w:type="dxa" w:w="1361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kg kg⁻¹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SS001—SS004</w:t>
            </w:r>
          </w:p>
        </w:tc>
        <w:tc>
          <w:tcPr>
            <w:tcW w:type="dxa" w:w="4422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第1至第4粒径档海盐质量混合比</w:t>
            </w:r>
          </w:p>
        </w:tc>
        <w:tc>
          <w:tcPr>
            <w:tcW w:type="dxa" w:w="1361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kg kg⁻¹</w:t>
            </w:r>
          </w:p>
        </w:tc>
      </w:tr>
    </w:tbl>
    <w:p>
      <w:r>
        <w:rPr>
          <w:b w:val="0"/>
        </w:rPr>
        <w:t>国内研究范围为宁夏、新疆、甘肃和内蒙古；国外扩展范围为蒙古国、哈萨克斯坦、吉尔吉斯斯坦、塔吉克斯坦、阿富汗、巴基斯坦和印度。现阶段重点获取2015年至最新实际可用日期的数据，以衔接后续可获得的地面观测；最终比较时段仍取决于观测资料的有效覆盖。空间和时间范围作为请求条件保存，便于日后扩展或复查。</w:t>
      </w:r>
    </w:p>
    <w:p>
      <w:pPr>
        <w:pStyle w:val="Heading2"/>
      </w:pPr>
      <w:r>
        <w:t>1.4 数据下载方法</w:t>
      </w:r>
    </w:p>
    <w:p>
      <w:r>
        <w:rPr>
          <w:b w:val="0"/>
        </w:rPr>
        <w:t>数据通过NASA GES DISC产品入口获取，访问和下载时使用Earthdata Login账户认证，并按服务提示完成授权。本研究通过Python调用Harmony子集服务，提交区域多边形、起止时间、变量及垂直层条件。该方式在传输前限定所需范围，避免先下载全球全部模式层再本地筛选，可减少不必要的下载和存储。国内区域依据所选省界组织，国外区域依据所选国家边界组织；边界版本随任务记录保留。</w:t>
      </w:r>
    </w:p>
    <w:p>
      <w:r>
        <w:rPr>
          <w:b w:val="0"/>
        </w:rPr>
        <w:t>获取过程分为服务端子集处理和本地实体文件下载。服务端根据请求生成逐日结果，程序提取其下载地址并写入年度TXT清单，同时保存任务编号、请求范围、处理状态和结果有效期。本地下载程序再读取清单，将原始NetCDF日文件保存到相应区域和年份目录。因此，TXT是下载入口，任务JSON用于追溯，而.nc4文件才是后续读取和计算使用的实体数据。</w:t>
      </w:r>
    </w:p>
    <w:p>
      <w:r>
        <w:rPr>
          <w:b w:val="0"/>
        </w:rPr>
        <w:t>原始文件下载采用并发与缓存复用：先完成首次认证，再获取缺失日文件；已有文件通过检查后直接复用。一个完整日应包含8个原始时次，历史完整年应有365或366个日文件。正式计算前检查日期连续性、变量、层次、单位及经纬度一致性。任务部分成功、日期缺失或返回非数据内容时，不将该年度标记为完整。临时链接具有保存期限，已下载到本地的完整文件可以继续使用，尚未下载的过期结果则需刷新链接。</w:t>
      </w:r>
    </w:p>
    <w:p>
      <w:pPr>
        <w:pStyle w:val="Heading2"/>
      </w:pPr>
      <w:r>
        <w:t>1.5 数据读取与使用方式</w:t>
      </w:r>
    </w:p>
    <w:p>
      <w:r>
        <w:rPr>
          <w:b w:val="0"/>
        </w:rPr>
        <w:t>NetCDF4以维度、变量和属性共同描述数据。使用时通过Python的netCDF4或xarray等工具读取文件，先识别时间、经纬度、垂直层、单位和缺失值，再按目标时间与空间范围提取变量。原始变量通常具有time、lev、lat、lon维度；区域子集在空间格点数上小于全球产品，选择第72层后也需确认文件实际返回的层次。不能只依据文件名或数组位置判断坐标含义。</w:t>
      </w:r>
    </w:p>
    <w:p>
      <w:r>
        <w:rPr>
          <w:b w:val="0"/>
        </w:rPr>
        <w:t>本阶段先在原始网格上使用气溶胶组分和空气密度估算PM₁₀，再按区域和年份保存为NetCDF4，同时保留原始日文件。该组织方式保留完整空间信息，使后续更换城市、监测站或匹配方案时能够直接重新提取；如果计算方案调整，也可以利用原始变量复算。本地完整文件可直接离线读取，无需重新获取链接。具体PM₁₀公式及数值处理在后续计算部分展开。</w:t>
      </w:r>
    </w:p>
    <w:p>
      <w:r>
        <w:rPr>
          <w:b w:val="0"/>
        </w:rPr>
        <w:t>开展城市或站点分析时，使用经核实的坐标匹配网格，保留目标坐标、网格坐标和匹配距离，并统一时间基准。原始时间为UTC，国内展示可换算为北京时间UTC+8；跨国比较需按分析目的明确使用UTC还是当地时间。由于原始数据为瞬时值，与小时或日均观测配对前还需明确统计尺度。经纬度匹配只能建立位置对应关系，不能消除网格尺度与站点尺度的差异。</w:t>
      </w:r>
    </w:p>
    <w:p>
      <w:r>
        <w:rPr>
          <w:b w:val="0"/>
        </w:rPr>
        <w:t>PM₁₀网格结果保留后，点位时间序列可按城市或站点导出CSV、Parquet等表格。NetCDF4适合保存多维网格和元数据，CSV适合较小规模的位置序列，二者承担不同用途。总PM₁₀由多种气溶胶组分构成，若后续关注沙尘，还需区分总颗粒物浓度与沙尘组分。</w:t>
      </w:r>
    </w:p>
    <w:p>
      <w:pPr>
        <w:pStyle w:val="Heading2"/>
      </w:pPr>
      <w:r>
        <w:t>资料来源</w:t>
      </w:r>
    </w:p>
    <w:p>
      <w:pPr>
        <w:keepLines/>
        <w:ind w:firstLine="0"/>
      </w:pPr>
      <w:r>
        <w:rPr>
          <w:b w:val="0"/>
        </w:rPr>
        <w:t>[1] Global Modeling and Assimilation Office (GMAO). MERRA-2 inst3_3d_aer_Nv: 3d, 3-Hourly, Instantaneous, Model-Level, Assimilation, Aerosol Mixing Ratio V5.12.4 (M2I3NVAER)[DS]. NASA GES DISC, 2015. DOI: 10.5067/LTVB4GPCOTK2. 产品信息依据NASA CMR元数据核对。</w:t>
      </w:r>
    </w:p>
    <w:p>
      <w:pPr>
        <w:keepLines/>
        <w:ind w:firstLine="0"/>
      </w:pPr>
      <w:r>
        <w:rPr>
          <w:b w:val="0"/>
        </w:rPr>
        <w:t>[2] Gelaro R, McCarty W, Suárez M J, et al. The Modern-Era Retrospective Analysis for Research and Applications, Version 2 (MERRA-2)[J]. Journal of Climate, 2017, 30(14): 5419–5454. DOI: 10.1175/JCLI-D-16-0758.1.</w:t>
      </w:r>
    </w:p>
    <w:p>
      <w:pPr>
        <w:keepLines/>
        <w:ind w:firstLine="0"/>
      </w:pPr>
      <w:r>
        <w:rPr>
          <w:b w:val="0"/>
        </w:rPr>
        <w:t>[3] Randles C A, da Silva A M, Buchard V, et al. The MERRA-2 Aerosol Reanalysis, 1980 Onward. Part I: System Description and Data Assimilation Evaluation[J]. Journal of Climate, 2017, 30(17): 6823–6850. DOI: 10.1175/JCLI-D-16-0609.1.</w:t>
      </w:r>
    </w:p>
    <w:p>
      <w:pPr>
        <w:keepLines/>
        <w:ind w:firstLine="0"/>
      </w:pPr>
      <w:r>
        <w:rPr>
          <w:b w:val="0"/>
        </w:rPr>
        <w:t>官方产品入口：https://doi.org/10.5067/LTVB4GPCOTK2；产品页：https://disc.gsfc.nasa.gov/datacollection/M2I3NVAER_5.12.4.html。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361" w:bottom="1247" w:left="1474" w:header="624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sz w:val="18"/>
      </w:rPr>
      <w:t xml:space="preserve">第 </w:t>
    </w:r>
    <w:fldSimple w:instr="PAGE"/>
    <w:r>
      <w:rPr>
        <w:sz w:val="18"/>
      </w:rPr>
      <w:t xml:space="preserve"> 页 / 共 </w:t>
    </w:r>
    <w:fldSimple w:instr="NUMPAGES"/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sz w:val="18"/>
      </w:rPr>
      <w:t>MERRA-2数据介绍｜分节审阅稿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  <w:ind w:firstLine="440"/>
    </w:pPr>
    <w:rPr>
      <w:rFonts w:ascii="Times New Roman" w:hAnsi="Times New Roman" w:eastAsia="宋体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ind w:firstLine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ind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200"/>
      <w:ind w:firstLine="0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ind w:firstLine="0"/>
    </w:pPr>
    <w:rPr>
      <w:rFonts w:ascii="Times New Roman" w:hAnsi="Times New Roman" w:eastAsia="宋体"/>
      <w:b w:val="0"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MERRA-2数据介绍：产品信息、获取方法与使用方式</dc:title>
  <dc:subject>分节审阅稿，仅包含数据介绍部分</dc:subject>
  <dc:creator/>
  <cp:keywords>MERRA-2; M2I3NVAER; PM10; NetCDF4; 数据质量控制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1.0</cp:version>
</cp:coreProperties>
</file>