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1C084">
      <w:pPr>
        <w:pStyle w:val="2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矿山生态修复监测与评估系统用户手册</w:t>
      </w:r>
    </w:p>
    <w:p w14:paraId="3EBAF9C2">
      <w:pPr>
        <w:pStyle w:val="3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1. 引言</w:t>
      </w:r>
    </w:p>
    <w:p w14:paraId="5E573C0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1.1 编写目的</w:t>
      </w:r>
    </w:p>
    <w:p w14:paraId="2C678F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本手册为“矿山生态修复监测与评估系统”的正式操作指南，旨在帮助用户全面了解系统功能，掌握系统的安装、配置、操作及日常维护方法，从而高效、准确地利用系统进行矿山生态修复的监测与评估工作。</w:t>
      </w:r>
    </w:p>
    <w:p w14:paraId="69DD6D0E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1.2 系统简介</w:t>
      </w:r>
    </w:p>
    <w:p w14:paraId="30BC2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“矿山生态修复监测与评估系统”是一款基于 Web 技术的可视化信息管理平台。系统深度融合地理信息系统（GIS）与数据可视化技术，利用 Leaflet 地图引擎展示矿山的地理空间分布，并集成 ECharts 图表库对历年 NDVI（归一化植被指数）监测数据进行多维度统计与趋势分析。通过直观、动态的可视化呈现，系统为管理人员评估生态修复成效、制定科学决策提供了有力的数据支撑。</w:t>
      </w:r>
    </w:p>
    <w:p w14:paraId="5C9C589F">
      <w:pPr>
        <w:pStyle w:val="3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2. 系统运行环境</w:t>
      </w:r>
    </w:p>
    <w:p w14:paraId="156B84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为确保系统稳定、高效运行，请确保部署环境满足以下要求。</w:t>
      </w:r>
    </w:p>
    <w:p w14:paraId="779A7D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2.1 硬件环境</w:t>
      </w:r>
    </w:p>
    <w:p w14:paraId="1CFFDE60">
      <w:pPr>
        <w:numPr>
          <w:ilvl w:val="0"/>
          <w:numId w:val="1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服务器端</w:t>
      </w:r>
      <w:r>
        <w:rPr>
          <w:rFonts w:hint="default" w:ascii="Times New Roman" w:hAnsi="Times New Roman" w:cs="Times New Roman" w:eastAsiaTheme="minorEastAsia"/>
        </w:rPr>
        <w:t>：</w:t>
      </w:r>
    </w:p>
    <w:p w14:paraId="45876442">
      <w:pPr>
        <w:numPr>
          <w:ilvl w:val="1"/>
          <w:numId w:val="1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CPU</w:t>
      </w:r>
      <w:r>
        <w:rPr>
          <w:rFonts w:hint="default" w:ascii="Times New Roman" w:hAnsi="Times New Roman" w:cs="Times New Roman" w:eastAsiaTheme="minorEastAsia"/>
        </w:rPr>
        <w:t>：2核心及以上。</w:t>
      </w:r>
    </w:p>
    <w:p w14:paraId="3B2B3220">
      <w:pPr>
        <w:numPr>
          <w:ilvl w:val="1"/>
          <w:numId w:val="1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内存</w:t>
      </w:r>
      <w:r>
        <w:rPr>
          <w:rFonts w:hint="default" w:ascii="Times New Roman" w:hAnsi="Times New Roman" w:cs="Times New Roman" w:eastAsiaTheme="minorEastAsia"/>
        </w:rPr>
        <w:t>：4GB 及以上。</w:t>
      </w:r>
    </w:p>
    <w:p w14:paraId="348D3ED2">
      <w:pPr>
        <w:numPr>
          <w:ilvl w:val="1"/>
          <w:numId w:val="1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硬盘</w:t>
      </w:r>
      <w:r>
        <w:rPr>
          <w:rFonts w:hint="default" w:ascii="Times New Roman" w:hAnsi="Times New Roman" w:cs="Times New Roman" w:eastAsiaTheme="minorEastAsia"/>
        </w:rPr>
        <w:t>：至少 20GB 可用存储空间，用于存放系统程序、数据库及数据文件。</w:t>
      </w:r>
    </w:p>
    <w:p w14:paraId="1CA5C005">
      <w:pPr>
        <w:numPr>
          <w:ilvl w:val="0"/>
          <w:numId w:val="1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客户端（用户访问端）</w:t>
      </w:r>
      <w:r>
        <w:rPr>
          <w:rFonts w:hint="default" w:ascii="Times New Roman" w:hAnsi="Times New Roman" w:cs="Times New Roman" w:eastAsiaTheme="minorEastAsia"/>
        </w:rPr>
        <w:t>：</w:t>
      </w:r>
    </w:p>
    <w:p w14:paraId="63C0569D">
      <w:pPr>
        <w:numPr>
          <w:ilvl w:val="1"/>
          <w:numId w:val="1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常规办公计算机即可满足要求。</w:t>
      </w:r>
    </w:p>
    <w:p w14:paraId="6DD24BA6">
      <w:pPr>
        <w:numPr>
          <w:ilvl w:val="1"/>
          <w:numId w:val="1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显示器分辨率</w:t>
      </w:r>
      <w:r>
        <w:rPr>
          <w:rFonts w:hint="default" w:ascii="Times New Roman" w:hAnsi="Times New Roman" w:cs="Times New Roman" w:eastAsiaTheme="minorEastAsia"/>
        </w:rPr>
        <w:t>：推荐 1920×1080 或更高，以获得最佳视觉体验。</w:t>
      </w:r>
    </w:p>
    <w:p w14:paraId="011901AF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2.2 软件环境</w:t>
      </w:r>
    </w:p>
    <w:p w14:paraId="20503A61">
      <w:pPr>
        <w:numPr>
          <w:ilvl w:val="0"/>
          <w:numId w:val="2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操作系统</w:t>
      </w:r>
      <w:r>
        <w:rPr>
          <w:rFonts w:hint="default" w:ascii="Times New Roman" w:hAnsi="Times New Roman" w:cs="Times New Roman" w:eastAsiaTheme="minorEastAsia"/>
        </w:rPr>
        <w:t>：Windows 10/11、Linux（如 Ubuntu 20.04 LTS、CentOS 7/8 等主流发行版）。</w:t>
      </w:r>
    </w:p>
    <w:p w14:paraId="36034478">
      <w:pPr>
        <w:numPr>
          <w:ilvl w:val="0"/>
          <w:numId w:val="2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运行平台</w:t>
      </w:r>
      <w:r>
        <w:rPr>
          <w:rFonts w:hint="default" w:ascii="Times New Roman" w:hAnsi="Times New Roman" w:cs="Times New Roman" w:eastAsiaTheme="minorEastAsia"/>
        </w:rPr>
        <w:t>：Node.js 运行时环境，版本需为 v20.19.0 或更高。</w:t>
      </w:r>
    </w:p>
    <w:p w14:paraId="2321EAB6">
      <w:pPr>
        <w:numPr>
          <w:ilvl w:val="0"/>
          <w:numId w:val="2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数据库</w:t>
      </w:r>
      <w:r>
        <w:rPr>
          <w:rFonts w:hint="default" w:ascii="Times New Roman" w:hAnsi="Times New Roman" w:cs="Times New Roman" w:eastAsiaTheme="minorEastAsia"/>
        </w:rPr>
        <w:t>：MySQL 8.0 或兼容版本。</w:t>
      </w:r>
    </w:p>
    <w:p w14:paraId="14B725EC">
      <w:pPr>
        <w:numPr>
          <w:ilvl w:val="0"/>
          <w:numId w:val="2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浏览器</w:t>
      </w:r>
      <w:r>
        <w:rPr>
          <w:rFonts w:hint="default" w:ascii="Times New Roman" w:hAnsi="Times New Roman" w:cs="Times New Roman" w:eastAsiaTheme="minorEastAsia"/>
        </w:rPr>
        <w:t>：推荐使用 Google Chrome (90+)、Microsoft Edge (Chromium内核)、Mozilla Firefox (90+) 等现代浏览器，以确保页面功能正常显示与运行。</w:t>
      </w:r>
    </w:p>
    <w:p w14:paraId="0645377E">
      <w:pPr>
        <w:pStyle w:val="3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3. 系统安装与配置指南</w:t>
      </w:r>
    </w:p>
    <w:p w14:paraId="409EC0B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3.1 数据库配置</w:t>
      </w:r>
    </w:p>
    <w:p w14:paraId="4370CE9E">
      <w:pPr>
        <w:numPr>
          <w:ilvl w:val="0"/>
          <w:numId w:val="3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安装数据库</w:t>
      </w:r>
      <w:r>
        <w:rPr>
          <w:rFonts w:hint="default" w:ascii="Times New Roman" w:hAnsi="Times New Roman" w:cs="Times New Roman" w:eastAsiaTheme="minorEastAsia"/>
        </w:rPr>
        <w:t>：在服务器上安装 MySQL 8.0 数据库软件。</w:t>
      </w:r>
    </w:p>
    <w:p w14:paraId="7388242C">
      <w:pPr>
        <w:numPr>
          <w:ilvl w:val="0"/>
          <w:numId w:val="3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创建数据库</w:t>
      </w:r>
      <w:r>
        <w:rPr>
          <w:rFonts w:hint="default" w:ascii="Times New Roman" w:hAnsi="Times New Roman" w:cs="Times New Roman" w:eastAsiaTheme="minorEastAsia"/>
        </w:rPr>
        <w:t>：登录 MySQL，执行命令CREATE DATABASE mine_db;，创建系统专用数据库。</w:t>
      </w:r>
    </w:p>
    <w:p w14:paraId="136381B0">
      <w:pPr>
        <w:numPr>
          <w:ilvl w:val="0"/>
          <w:numId w:val="3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配置连接信息</w:t>
      </w:r>
      <w:r>
        <w:rPr>
          <w:rFonts w:hint="default" w:ascii="Times New Roman" w:hAnsi="Times New Roman" w:cs="Times New Roman" w:eastAsiaTheme="minorEastAsia"/>
        </w:rPr>
        <w:t>：在项目根目录下，创建名为.env的配置文件，并填入以下数据库连接参数：DB_HOST=127.0.0.1</w:t>
      </w:r>
    </w:p>
    <w:p w14:paraId="59DF39A0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DB_PORT=3306</w:t>
      </w:r>
    </w:p>
    <w:p w14:paraId="05CF2E46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DB_USER=root</w:t>
      </w:r>
    </w:p>
    <w:p w14:paraId="6A714A83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DB_PASSWORD=您的数据库密码</w:t>
      </w:r>
    </w:p>
    <w:p w14:paraId="5A195115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DB_NAME=mine_db</w:t>
      </w:r>
    </w:p>
    <w:p w14:paraId="268EA118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注意</w:t>
      </w:r>
      <w:r>
        <w:rPr>
          <w:rFonts w:hint="default" w:ascii="Times New Roman" w:hAnsi="Times New Roman" w:cs="Times New Roman" w:eastAsiaTheme="minorEastAsia"/>
        </w:rPr>
        <w:t>：请将“您的数据库密码”替换为实际的 root 用户密码，并确保该文件的安全性。</w:t>
      </w:r>
    </w:p>
    <w:p w14:paraId="3CF7ECB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3.2 服务端部署与启动</w:t>
      </w:r>
    </w:p>
    <w:p w14:paraId="77186E93">
      <w:pPr>
        <w:numPr>
          <w:ilvl w:val="0"/>
          <w:numId w:val="4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进入项目目录</w:t>
      </w:r>
      <w:r>
        <w:rPr>
          <w:rFonts w:hint="default" w:ascii="Times New Roman" w:hAnsi="Times New Roman" w:cs="Times New Roman" w:eastAsiaTheme="minorEastAsia"/>
        </w:rPr>
        <w:t>：打开命令行终端（如CMD、PowerShell或Terminal），切换到系统项目所在的根目录。</w:t>
      </w:r>
    </w:p>
    <w:p w14:paraId="2EF8AD98">
      <w:pPr>
        <w:numPr>
          <w:ilvl w:val="0"/>
          <w:numId w:val="4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安装项目依赖</w:t>
      </w:r>
      <w:r>
        <w:rPr>
          <w:rFonts w:hint="default" w:ascii="Times New Roman" w:hAnsi="Times New Roman" w:cs="Times New Roman" w:eastAsiaTheme="minorEastAsia"/>
        </w:rPr>
        <w:t>：执行以下命令，安装运行所需的 Node.js 模块包。npm install</w:t>
      </w:r>
    </w:p>
    <w:p w14:paraId="62D00E38">
      <w:pPr>
        <w:numPr>
          <w:ilvl w:val="0"/>
          <w:numId w:val="4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导入初始数据（可选）</w:t>
      </w:r>
      <w:r>
        <w:rPr>
          <w:rFonts w:hint="default" w:ascii="Times New Roman" w:hAnsi="Times New Roman" w:cs="Times New Roman" w:eastAsiaTheme="minorEastAsia"/>
        </w:rPr>
        <w:t>：如需导入示例或基础的 NDVI 监测数据，可运行以下命令。npm run import:ndvi</w:t>
      </w:r>
    </w:p>
    <w:p w14:paraId="1988235E">
      <w:pPr>
        <w:numPr>
          <w:ilvl w:val="0"/>
          <w:numId w:val="4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启动后端服务</w:t>
      </w:r>
      <w:r>
        <w:rPr>
          <w:rFonts w:hint="default" w:ascii="Times New Roman" w:hAnsi="Times New Roman" w:cs="Times New Roman" w:eastAsiaTheme="minorEastAsia"/>
        </w:rPr>
        <w:t>：执行以下命令启动系统后端服务。服务默认将在本机的</w:t>
      </w:r>
      <w:r>
        <w:rPr>
          <w:rFonts w:hint="default" w:ascii="Times New Roman" w:hAnsi="Times New Roman" w:cs="Times New Roman" w:eastAsiaTheme="minorEastAsia"/>
          <w:b/>
        </w:rPr>
        <w:t>8000</w:t>
      </w:r>
      <w:r>
        <w:rPr>
          <w:rFonts w:hint="default" w:ascii="Times New Roman" w:hAnsi="Times New Roman" w:cs="Times New Roman" w:eastAsiaTheme="minorEastAsia"/>
        </w:rPr>
        <w:t>端口运行。node server.js</w:t>
      </w:r>
    </w:p>
    <w:p w14:paraId="7323DBC2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当终端显示服务成功启动、监听 8000 端口的提示信息时，表明后端服务已就绪。</w:t>
      </w:r>
    </w:p>
    <w:p w14:paraId="5AD356BF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3.3 客户端启动与访问</w:t>
      </w:r>
    </w:p>
    <w:p w14:paraId="602787FF">
      <w:pPr>
        <w:numPr>
          <w:ilvl w:val="0"/>
          <w:numId w:val="5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启动前端开发服务器</w:t>
      </w:r>
      <w:r>
        <w:rPr>
          <w:rFonts w:hint="default" w:ascii="Times New Roman" w:hAnsi="Times New Roman" w:cs="Times New Roman" w:eastAsiaTheme="minorEastAsia"/>
        </w:rPr>
        <w:t>：开启一个新的命令行终端窗口，同样进入项目根目录，执行以下命令：npm run dev</w:t>
      </w:r>
    </w:p>
    <w:p w14:paraId="46893090">
      <w:pPr>
        <w:numPr>
          <w:ilvl w:val="0"/>
          <w:numId w:val="5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访问系统</w:t>
      </w:r>
      <w:r>
        <w:rPr>
          <w:rFonts w:hint="default" w:ascii="Times New Roman" w:hAnsi="Times New Roman" w:cs="Times New Roman" w:eastAsiaTheme="minorEastAsia"/>
        </w:rPr>
        <w:t>：打开推荐的浏览器，在地址栏输入http://localhost:5173并访问，即可进入系统主界面。</w:t>
      </w:r>
    </w:p>
    <w:p w14:paraId="0A70E342">
      <w:pPr>
        <w:pStyle w:val="3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4. 功能操作说明</w:t>
      </w:r>
    </w:p>
    <w:p w14:paraId="3A931DC9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4.1 系统主界面</w:t>
      </w:r>
    </w:p>
    <w:p w14:paraId="18233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成功登录系统后，将呈现以地图为核心的全屏主界面。系统会自动加载并在地图上显示所有预设的矿山地理边界，通常以蓝色多边形区域进行高亮标示。</w:t>
      </w:r>
    </w:p>
    <w:p w14:paraId="4CAEFD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操作提示：建议在此处插入系统主界面的截图，以便用户对照。</w:t>
      </w:r>
    </w:p>
    <w:p w14:paraId="46B73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drawing>
          <wp:inline distT="0" distB="0" distL="114300" distR="114300">
            <wp:extent cx="5266690" cy="2825115"/>
            <wp:effectExtent l="0" t="0" r="16510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21FE1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4.2 查看矿山地理分布</w:t>
      </w:r>
    </w:p>
    <w:p w14:paraId="19CB32A4">
      <w:pPr>
        <w:numPr>
          <w:ilvl w:val="0"/>
          <w:numId w:val="6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地图平移</w:t>
      </w:r>
      <w:r>
        <w:rPr>
          <w:rFonts w:hint="default" w:ascii="Times New Roman" w:hAnsi="Times New Roman" w:cs="Times New Roman" w:eastAsiaTheme="minorEastAsia"/>
        </w:rPr>
        <w:t>：在任意空白区域按住鼠标左键并拖动，可自由移动地图视野。</w:t>
      </w:r>
    </w:p>
    <w:p w14:paraId="42D48B77">
      <w:pPr>
        <w:numPr>
          <w:ilvl w:val="0"/>
          <w:numId w:val="6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地图缩放</w:t>
      </w:r>
      <w:r>
        <w:rPr>
          <w:rFonts w:hint="default" w:ascii="Times New Roman" w:hAnsi="Times New Roman" w:cs="Times New Roman" w:eastAsiaTheme="minorEastAsia"/>
        </w:rPr>
        <w:t>：向前滚动鼠标滚轮可放大地图查看细节，向后滚动则可缩小地图以概览全局。地图左上方通常也提供缩放按钮控件。</w:t>
      </w:r>
    </w:p>
    <w:p w14:paraId="0262E6CE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4.3 查询生态监测数据</w:t>
      </w:r>
    </w:p>
    <w:p w14:paraId="371CBDE6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选择目标矿山</w:t>
      </w:r>
      <w:r>
        <w:rPr>
          <w:rFonts w:hint="default" w:ascii="Times New Roman" w:hAnsi="Times New Roman" w:cs="Times New Roman" w:eastAsiaTheme="minorEastAsia"/>
        </w:rPr>
        <w:t>：在地图上找到并单击您感兴趣的蓝色矿山区域多边形。</w:t>
      </w:r>
    </w:p>
    <w:p w14:paraId="1CFF8C79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弹出详情面板</w:t>
      </w:r>
      <w:r>
        <w:rPr>
          <w:rFonts w:hint="default" w:ascii="Times New Roman" w:hAnsi="Times New Roman" w:cs="Times New Roman" w:eastAsiaTheme="minorEastAsia"/>
        </w:rPr>
        <w:t>：点击后，系统将在屏幕</w:t>
      </w:r>
      <w:r>
        <w:rPr>
          <w:rFonts w:hint="default" w:ascii="Times New Roman" w:hAnsi="Times New Roman" w:cs="Times New Roman" w:eastAsiaTheme="minorEastAsia"/>
          <w:b/>
        </w:rPr>
        <w:t>右下角</w:t>
      </w:r>
      <w:r>
        <w:rPr>
          <w:rFonts w:hint="default" w:ascii="Times New Roman" w:hAnsi="Times New Roman" w:cs="Times New Roman" w:eastAsiaTheme="minorEastAsia"/>
        </w:rPr>
        <w:t>弹出一个详细信息面板。</w:t>
      </w:r>
    </w:p>
    <w:p w14:paraId="13FCE88A">
      <w:pPr>
        <w:numPr>
          <w:ilvl w:val="0"/>
          <w:numId w:val="7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解读面板数据</w:t>
      </w:r>
      <w:r>
        <w:rPr>
          <w:rFonts w:hint="default" w:ascii="Times New Roman" w:hAnsi="Times New Roman" w:cs="Times New Roman" w:eastAsiaTheme="minorEastAsia"/>
        </w:rPr>
        <w:t>：</w:t>
      </w:r>
    </w:p>
    <w:p w14:paraId="7BA13A6A">
      <w:pPr>
        <w:numPr>
          <w:ilvl w:val="1"/>
          <w:numId w:val="7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矿山编号</w:t>
      </w:r>
      <w:r>
        <w:rPr>
          <w:rFonts w:hint="default" w:ascii="Times New Roman" w:hAnsi="Times New Roman" w:cs="Times New Roman" w:eastAsiaTheme="minorEastAsia"/>
        </w:rPr>
        <w:t>：显示该矿山的唯一标识（FID）。</w:t>
      </w:r>
    </w:p>
    <w:p w14:paraId="0181F891">
      <w:pPr>
        <w:numPr>
          <w:ilvl w:val="1"/>
          <w:numId w:val="7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NDVI 均值</w:t>
      </w:r>
      <w:r>
        <w:rPr>
          <w:rFonts w:hint="default" w:ascii="Times New Roman" w:hAnsi="Times New Roman" w:cs="Times New Roman" w:eastAsiaTheme="minorEastAsia"/>
        </w:rPr>
        <w:t>：展示该矿山区域内 NDVI 指数的平均值，直接反映植被覆盖整体状况。</w:t>
      </w:r>
    </w:p>
    <w:p w14:paraId="7251F90D">
      <w:pPr>
        <w:numPr>
          <w:ilvl w:val="1"/>
          <w:numId w:val="7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变化趋势</w:t>
      </w:r>
      <w:r>
        <w:rPr>
          <w:rFonts w:hint="default" w:ascii="Times New Roman" w:hAnsi="Times New Roman" w:cs="Times New Roman" w:eastAsiaTheme="minorEastAsia"/>
        </w:rPr>
        <w:t>：</w:t>
      </w:r>
    </w:p>
    <w:p w14:paraId="44E04223">
      <w:pPr>
        <w:numPr>
          <w:ilvl w:val="2"/>
          <w:numId w:val="7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数值</w:t>
      </w:r>
      <w:r>
        <w:rPr>
          <w:rFonts w:hint="default" w:ascii="Times New Roman" w:hAnsi="Times New Roman" w:cs="Times New Roman" w:eastAsiaTheme="minorEastAsia"/>
        </w:rPr>
        <w:t>：显示一个代表 NDVI 变化趋势的数值。</w:t>
      </w:r>
      <w:r>
        <w:rPr>
          <w:rFonts w:hint="default" w:ascii="Times New Roman" w:hAnsi="Times New Roman" w:cs="Times New Roman" w:eastAsiaTheme="minorEastAsia"/>
          <w:b/>
        </w:rPr>
        <w:t>正值</w:t>
      </w:r>
      <w:r>
        <w:rPr>
          <w:rFonts w:hint="default" w:ascii="Times New Roman" w:hAnsi="Times New Roman" w:cs="Times New Roman" w:eastAsiaTheme="minorEastAsia"/>
        </w:rPr>
        <w:t>通常表示植被状况改善，</w:t>
      </w:r>
      <w:r>
        <w:rPr>
          <w:rFonts w:hint="default" w:ascii="Times New Roman" w:hAnsi="Times New Roman" w:cs="Times New Roman" w:eastAsiaTheme="minorEastAsia"/>
          <w:b/>
        </w:rPr>
        <w:t>负值</w:t>
      </w:r>
      <w:r>
        <w:rPr>
          <w:rFonts w:hint="default" w:ascii="Times New Roman" w:hAnsi="Times New Roman" w:cs="Times New Roman" w:eastAsiaTheme="minorEastAsia"/>
        </w:rPr>
        <w:t>表示退化。</w:t>
      </w:r>
    </w:p>
    <w:p w14:paraId="1C1F5925">
      <w:pPr>
        <w:numPr>
          <w:ilvl w:val="2"/>
          <w:numId w:val="7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颜色标识</w:t>
      </w:r>
      <w:r>
        <w:rPr>
          <w:rFonts w:hint="default" w:ascii="Times New Roman" w:hAnsi="Times New Roman" w:cs="Times New Roman" w:eastAsiaTheme="minorEastAsia"/>
        </w:rPr>
        <w:t>：系统会使用醒目的</w:t>
      </w:r>
      <w:r>
        <w:rPr>
          <w:rFonts w:hint="default" w:ascii="Times New Roman" w:hAnsi="Times New Roman" w:cs="Times New Roman" w:eastAsiaTheme="minorEastAsia"/>
          <w:b/>
        </w:rPr>
        <w:t>绿色</w:t>
      </w:r>
      <w:r>
        <w:rPr>
          <w:rFonts w:hint="default" w:ascii="Times New Roman" w:hAnsi="Times New Roman" w:cs="Times New Roman" w:eastAsiaTheme="minorEastAsia"/>
        </w:rPr>
        <w:t>标注改善趋势，使用</w:t>
      </w:r>
      <w:r>
        <w:rPr>
          <w:rFonts w:hint="default" w:ascii="Times New Roman" w:hAnsi="Times New Roman" w:cs="Times New Roman" w:eastAsiaTheme="minorEastAsia"/>
          <w:b/>
        </w:rPr>
        <w:t>红色</w:t>
      </w:r>
      <w:r>
        <w:rPr>
          <w:rFonts w:hint="default" w:ascii="Times New Roman" w:hAnsi="Times New Roman" w:cs="Times New Roman" w:eastAsiaTheme="minorEastAsia"/>
        </w:rPr>
        <w:t>标注退化趋势，以便快速识别。</w:t>
      </w:r>
    </w:p>
    <w:p w14:paraId="1358E911">
      <w:pPr>
        <w:numPr>
          <w:numId w:val="0"/>
        </w:numPr>
        <w:spacing w:before="0" w:beforeAutospacing="1" w:after="0" w:afterAutospacing="1"/>
        <w:rPr>
          <w:rFonts w:hint="default" w:ascii="Times New Roman" w:hAnsi="Times New Roman" w:cs="Times New Roman" w:eastAsiaTheme="minorEastAsia"/>
        </w:rPr>
      </w:pPr>
      <w:r>
        <w:drawing>
          <wp:inline distT="0" distB="0" distL="114300" distR="114300">
            <wp:extent cx="5266690" cy="2810510"/>
            <wp:effectExtent l="0" t="0" r="1651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6B998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4.4 数据更新与导入</w:t>
      </w:r>
      <w:bookmarkStart w:id="0" w:name="_GoBack"/>
      <w:bookmarkEnd w:id="0"/>
    </w:p>
    <w:p w14:paraId="24636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系统管理员可使用内置工具，定期导入最新的 NDVI 监测数据，以更新分析结果。</w:t>
      </w:r>
    </w:p>
    <w:p w14:paraId="3FB1DADF">
      <w:pPr>
        <w:numPr>
          <w:ilvl w:val="0"/>
          <w:numId w:val="8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操作命令</w:t>
      </w:r>
      <w:r>
        <w:rPr>
          <w:rFonts w:hint="default" w:ascii="Times New Roman" w:hAnsi="Times New Roman" w:cs="Times New Roman" w:eastAsiaTheme="minorEastAsia"/>
        </w:rPr>
        <w:t>：在项目根目录下的命令行中执行以下格式的命令：npm run import:ndvi -- [Excel文件路径/文件名.xlsx]</w:t>
      </w:r>
    </w:p>
    <w:p w14:paraId="262DD981">
      <w:pPr>
        <w:spacing w:before="0" w:beforeAutospacing="1" w:after="0" w:afterAutospacing="1"/>
        <w:ind w:left="7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注意</w:t>
      </w:r>
      <w:r>
        <w:rPr>
          <w:rFonts w:hint="default" w:ascii="Times New Roman" w:hAnsi="Times New Roman" w:cs="Times New Roman" w:eastAsiaTheme="minorEastAsia"/>
        </w:rPr>
        <w:t>：请将[Excel文件路径/文件名.xlsx]替换为实际的数据文件路径。文件格式需符合系统预定的模板规范，脚本将自动解析数据并更新至数据库。</w:t>
      </w:r>
    </w:p>
    <w:p w14:paraId="2B11D4A8">
      <w:pPr>
        <w:pStyle w:val="3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5. 常见问题与故障排除</w:t>
      </w:r>
    </w:p>
    <w:p w14:paraId="74E46270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问题一：地图底图无法加载或显示为空白。</w:t>
      </w:r>
    </w:p>
    <w:p w14:paraId="68409D20">
      <w:pPr>
        <w:numPr>
          <w:ilvl w:val="1"/>
          <w:numId w:val="9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原因与解决</w:t>
      </w:r>
      <w:r>
        <w:rPr>
          <w:rFonts w:hint="default" w:ascii="Times New Roman" w:hAnsi="Times New Roman" w:cs="Times New Roman" w:eastAsiaTheme="minorEastAsia"/>
        </w:rPr>
        <w:t>：系统地图依赖网络加载 OpenStreetMap 等在线底图服务。请首先检查计算机的网络连接是否正常。若网络正常，可能是服务暂时不可用，请稍后重试。</w:t>
      </w:r>
    </w:p>
    <w:p w14:paraId="59F80264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问题二：点击矿山或界面无数据响应，详情面板不弹出。</w:t>
      </w:r>
    </w:p>
    <w:p w14:paraId="52823F7F">
      <w:pPr>
        <w:numPr>
          <w:ilvl w:val="1"/>
          <w:numId w:val="9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原因与解决</w:t>
      </w:r>
      <w:r>
        <w:rPr>
          <w:rFonts w:hint="default" w:ascii="Times New Roman" w:hAnsi="Times New Roman" w:cs="Times New Roman" w:eastAsiaTheme="minorEastAsia"/>
        </w:rPr>
        <w:t>：</w:t>
      </w:r>
    </w:p>
    <w:p w14:paraId="6921784E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请确认后端服务是否正常运行。检查启动server.js的终端窗口是否有报错信息，并尝试访问http://localhost:8000测试端口是否可通。</w:t>
      </w:r>
    </w:p>
    <w:p w14:paraId="10B595D9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检查.env文件中的数据库连接配置（主机、端口、用户名、密码、数据库名）是否完全正确，确保后端服务能成功连接到mine_db数据库。</w:t>
      </w:r>
    </w:p>
    <w:p w14:paraId="0265CCA6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检查浏览器控制台（按F12打开开发者工具）是否有 JavaScript 错误提示。</w:t>
      </w:r>
    </w:p>
    <w:p w14:paraId="2DF3B9B8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问题三：依赖安装失败 (npm install报错)。</w:t>
      </w:r>
    </w:p>
    <w:p w14:paraId="70E77BFB">
      <w:pPr>
        <w:numPr>
          <w:ilvl w:val="1"/>
          <w:numId w:val="9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原因与解决</w:t>
      </w:r>
      <w:r>
        <w:rPr>
          <w:rFonts w:hint="default" w:ascii="Times New Roman" w:hAnsi="Times New Roman" w:cs="Times New Roman" w:eastAsiaTheme="minorEastAsia"/>
        </w:rPr>
        <w:t>：通常与网络或 Node.js 环境有关。可尝试：</w:t>
      </w:r>
    </w:p>
    <w:p w14:paraId="4F05196D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更换 npm 镜像源为国内源（如淘宝镜像）。</w:t>
      </w:r>
    </w:p>
    <w:p w14:paraId="6DF2072A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清除 npm 缓存：npm cache clean --force。</w:t>
      </w:r>
    </w:p>
    <w:p w14:paraId="4F14BE31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确保安装的 Node.js 版本符合 2.2 节的要求。</w:t>
      </w:r>
    </w:p>
    <w:p w14:paraId="4A4E9264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问题四：服务启动时提示端口被占用。</w:t>
      </w:r>
    </w:p>
    <w:p w14:paraId="0600CAF9">
      <w:pPr>
        <w:numPr>
          <w:ilvl w:val="1"/>
          <w:numId w:val="9"/>
        </w:numPr>
        <w:spacing w:before="0" w:beforeAutospacing="1" w:after="0" w:afterAutospacing="1"/>
        <w:ind w:left="144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</w:rPr>
        <w:t>原因与解决</w:t>
      </w:r>
      <w:r>
        <w:rPr>
          <w:rFonts w:hint="default" w:ascii="Times New Roman" w:hAnsi="Times New Roman" w:cs="Times New Roman" w:eastAsiaTheme="minorEastAsia"/>
        </w:rPr>
        <w:t>：8000 或 5173 端口可能已被其他程序使用。</w:t>
      </w:r>
    </w:p>
    <w:p w14:paraId="065DB5CD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可尝试终止占用端口的进程。</w:t>
      </w:r>
    </w:p>
    <w:p w14:paraId="77C35DE9">
      <w:pPr>
        <w:numPr>
          <w:ilvl w:val="2"/>
          <w:numId w:val="9"/>
        </w:numPr>
        <w:spacing w:before="0" w:beforeAutospacing="1" w:after="0" w:afterAutospacing="1"/>
        <w:ind w:left="2160" w:hanging="36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或修改server.js及相关前端配置中的端口号，并确保前后端端口对应关系正确。</w:t>
      </w:r>
    </w:p>
    <w:p w14:paraId="557C0073">
      <w:pPr>
        <w:rPr>
          <w:rFonts w:hint="default" w:ascii="Times New Roman" w:hAnsi="Times New Roman" w:cs="Times New Roman" w:eastAsiaTheme="minor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0F6A99"/>
    <w:multiLevelType w:val="multilevel"/>
    <w:tmpl w:val="940F6A9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">
    <w:nsid w:val="950EFE51"/>
    <w:multiLevelType w:val="singleLevel"/>
    <w:tmpl w:val="950EFE5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CFD0D469"/>
    <w:multiLevelType w:val="singleLevel"/>
    <w:tmpl w:val="CFD0D46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D163514C"/>
    <w:multiLevelType w:val="singleLevel"/>
    <w:tmpl w:val="D163514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F97BC1E1"/>
    <w:multiLevelType w:val="multilevel"/>
    <w:tmpl w:val="F97BC1E1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  <w:sz w:val="20"/>
      </w:rPr>
    </w:lvl>
  </w:abstractNum>
  <w:abstractNum w:abstractNumId="5">
    <w:nsid w:val="0B0F98DF"/>
    <w:multiLevelType w:val="multilevel"/>
    <w:tmpl w:val="0B0F98D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decimal"/>
      <w:lvlText w:val="%3."/>
      <w:lvlJc w:val="left"/>
      <w:pPr>
        <w:ind w:left="2160" w:hanging="360"/>
      </w:pPr>
      <w:rPr>
        <w:sz w:val="24"/>
      </w:rPr>
    </w:lvl>
  </w:abstractNum>
  <w:abstractNum w:abstractNumId="6">
    <w:nsid w:val="0F2CA960"/>
    <w:multiLevelType w:val="singleLevel"/>
    <w:tmpl w:val="0F2CA96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28FFD96B"/>
    <w:multiLevelType w:val="singleLevel"/>
    <w:tmpl w:val="28FFD96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52A5BA32"/>
    <w:multiLevelType w:val="singleLevel"/>
    <w:tmpl w:val="52A5BA32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2C6293"/>
    <w:rsid w:val="682C6293"/>
    <w:rsid w:val="770A1659"/>
    <w:rsid w:val="7EEE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2025-12-21T15:15:00Z</dcterms:created>
  <dc:creator>彭璐瑶</dc:creator>
  <cp:lastModifiedBy>linchengcheng</cp:lastModifiedBy>
  <dcterms:modified xsi:type="dcterms:W3CDTF">2026-01-27T18:46:25Z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0039BB9C46C8446CB18582010BB667BF_13</vt:lpwstr>
  </property>
  <property fmtid="{D5CDD505-2E9C-101B-9397-08002B2CF9AE}" pid="4" name="KSOTemplateDocerSaveRecord">
    <vt:lpwstr>eyJoZGlkIjoiYjFhMmQ0OWVkMjQ0NTdiMTNjYWE1YjYxYjA0ZDhmZDAiLCJ1c2VySWQiOiIxNTMwNjYwMjUyIn0=</vt:lpwstr>
  </property>
</Properties>
</file>