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矿山生态修复智能监测平台 用户手册</w:t>
      </w:r>
    </w:p>
    <w:p>
      <w:pPr>
        <w:pStyle w:val="Heading1"/>
      </w:pPr>
      <w:r>
        <w:t>1. 引言</w:t>
      </w:r>
    </w:p>
    <w:p>
      <w:pPr>
        <w:pStyle w:val="Heading2"/>
      </w:pPr>
      <w:r>
        <w:t>1.1 编写目的</w:t>
      </w:r>
    </w:p>
    <w:p>
      <w:r>
        <w:t>本手册为“矿山生态修复智能监测平台”的操作指南，旨在帮助用户了解系统功能，并掌握系统的部署、配置与日常使用流程。</w:t>
      </w:r>
    </w:p>
    <w:p>
      <w:pPr>
        <w:pStyle w:val="Heading2"/>
      </w:pPr>
      <w:r>
        <w:t>1.2 系统简介</w:t>
      </w:r>
    </w:p>
    <w:p>
      <w:r>
        <w:t>系统基于 Web 技术构建，融合 GIS 与数据可视化能力，通过 Leaflet 地图展示矿山空间分布，并结合统计图表对治理状态与生态指标进行分析，为管理人员评估修复成效与辅助决策提供支撑。</w:t>
      </w:r>
    </w:p>
    <w:p>
      <w:pPr>
        <w:pStyle w:val="Heading1"/>
      </w:pPr>
      <w:r>
        <w:t>2. 系统运行环境</w:t>
      </w:r>
    </w:p>
    <w:p>
      <w:pPr>
        <w:pStyle w:val="Heading2"/>
      </w:pPr>
      <w:r>
        <w:t>2.1 硬件环境（建议）</w:t>
      </w:r>
    </w:p>
    <w:p>
      <w:r>
        <w:t>服务器端：</w:t>
      </w:r>
    </w:p>
    <w:p>
      <w:pPr>
        <w:pStyle w:val="ListBullet"/>
      </w:pPr>
      <w:r>
        <w:t>CPU：2 核及以上</w:t>
      </w:r>
    </w:p>
    <w:p>
      <w:pPr>
        <w:pStyle w:val="ListBullet"/>
      </w:pPr>
      <w:r>
        <w:t>内存：4GB 及以上</w:t>
      </w:r>
    </w:p>
    <w:p>
      <w:pPr>
        <w:pStyle w:val="ListBullet"/>
      </w:pPr>
      <w:r>
        <w:t>硬盘：至少 20GB 可用空间（用于程序、数据库与数据文件）</w:t>
      </w:r>
    </w:p>
    <w:p>
      <w:r>
        <w:t>客户端（访问端）：常规办公计算机即可，推荐分辨率 1920×1080 或更高。</w:t>
      </w:r>
    </w:p>
    <w:p>
      <w:pPr>
        <w:pStyle w:val="Heading2"/>
      </w:pPr>
      <w:r>
        <w:t>2.2 软件环境</w:t>
      </w:r>
    </w:p>
    <w:p>
      <w:pPr>
        <w:pStyle w:val="ListBullet"/>
      </w:pPr>
      <w:r>
        <w:t>操作系统：Windows 10/11、Linux（Ubuntu 20.04+、CentOS 7/8 等）</w:t>
      </w:r>
    </w:p>
    <w:p>
      <w:pPr>
        <w:pStyle w:val="ListBullet"/>
      </w:pPr>
      <w:r>
        <w:t>Node.js：v20.19.0 或更高</w:t>
      </w:r>
    </w:p>
    <w:p>
      <w:pPr>
        <w:pStyle w:val="ListBullet"/>
      </w:pPr>
      <w:r>
        <w:t>数据库：MySQL 8.0 或兼容版本</w:t>
      </w:r>
    </w:p>
    <w:p>
      <w:pPr>
        <w:pStyle w:val="ListBullet"/>
      </w:pPr>
      <w:r>
        <w:t>浏览器：Chrome 90+ / Edge（Chromium）/ Firefox 90+ 等现代浏览器</w:t>
      </w:r>
    </w:p>
    <w:p>
      <w:pPr>
        <w:pStyle w:val="Heading1"/>
      </w:pPr>
      <w:r>
        <w:t>3. 系统安装与配置指南</w:t>
      </w:r>
    </w:p>
    <w:p>
      <w:pPr>
        <w:pStyle w:val="Heading2"/>
      </w:pPr>
      <w:r>
        <w:t>3.1 数据库配置</w:t>
      </w:r>
    </w:p>
    <w:p>
      <w:pPr>
        <w:pStyle w:val="ListNumber"/>
      </w:pPr>
      <w:r>
        <w:t>安装 MySQL 8.0。</w:t>
      </w:r>
    </w:p>
    <w:p>
      <w:pPr>
        <w:pStyle w:val="ListNumber"/>
      </w:pPr>
      <w:r>
        <w:t>创建数据库 mine_db。</w:t>
      </w:r>
    </w:p>
    <w:p>
      <w:pPr>
        <w:pStyle w:val="ListNumber"/>
      </w:pPr>
      <w:r>
        <w:t>在项目根目录创建/编辑 .env，填写数据库连接信息。</w:t>
      </w:r>
    </w:p>
    <w:p>
      <w:r>
        <w:rPr>
          <w:rFonts w:ascii="Consolas" w:hAnsi="Consolas" w:eastAsia="Consolas"/>
          <w:sz w:val="21"/>
        </w:rPr>
        <w:t>DB_HOST=127.0.0.1</w:t>
      </w:r>
    </w:p>
    <w:p>
      <w:r>
        <w:rPr>
          <w:rFonts w:ascii="Consolas" w:hAnsi="Consolas" w:eastAsia="Consolas"/>
          <w:sz w:val="21"/>
        </w:rPr>
        <w:t>DB_PORT=3306</w:t>
      </w:r>
    </w:p>
    <w:p>
      <w:r>
        <w:rPr>
          <w:rFonts w:ascii="Consolas" w:hAnsi="Consolas" w:eastAsia="Consolas"/>
          <w:sz w:val="21"/>
        </w:rPr>
        <w:t>DB_USER=mine_user</w:t>
      </w:r>
    </w:p>
    <w:p>
      <w:r>
        <w:rPr>
          <w:rFonts w:ascii="Consolas" w:hAnsi="Consolas" w:eastAsia="Consolas"/>
          <w:sz w:val="21"/>
        </w:rPr>
        <w:t>DB_PASSWORD=</w:t>
      </w:r>
    </w:p>
    <w:p>
      <w:r>
        <w:rPr>
          <w:rFonts w:ascii="Consolas" w:hAnsi="Consolas" w:eastAsia="Consolas"/>
          <w:sz w:val="21"/>
        </w:rPr>
        <w:t>DB_NAME=mine_db</w:t>
      </w:r>
    </w:p>
    <w:p>
      <w:pPr>
        <w:pStyle w:val="Heading2"/>
      </w:pPr>
      <w:r>
        <w:t>3.2 服务端部署与启动</w:t>
      </w:r>
    </w:p>
    <w:p>
      <w:pPr>
        <w:pStyle w:val="ListNumber"/>
      </w:pPr>
      <w:r>
        <w:t>进入项目根目录并安装依赖：npm install</w:t>
      </w:r>
    </w:p>
    <w:p>
      <w:pPr>
        <w:pStyle w:val="ListNumber"/>
      </w:pPr>
      <w:r>
        <w:t>启动后端服务：node server.js（默认监听 8000 端口）</w:t>
      </w:r>
    </w:p>
    <w:p>
      <w:pPr>
        <w:pStyle w:val="Heading2"/>
      </w:pPr>
      <w:r>
        <w:t>3.3 客户端启动与访问</w:t>
      </w:r>
    </w:p>
    <w:p>
      <w:pPr>
        <w:pStyle w:val="ListNumber"/>
      </w:pPr>
      <w:r>
        <w:t>在新的终端窗口启动前端：npm run dev -- --host</w:t>
      </w:r>
    </w:p>
    <w:p>
      <w:pPr>
        <w:pStyle w:val="ListNumber"/>
      </w:pPr>
      <w:r>
        <w:t>浏览器访问 http://localhost:5173/ 进入系统。</w:t>
      </w:r>
    </w:p>
    <w:p>
      <w:r>
        <w:t>接口与代理说明：</w:t>
      </w:r>
    </w:p>
    <w:p>
      <w:pPr>
        <w:pStyle w:val="ListBullet"/>
      </w:pPr>
      <w:r>
        <w:t>开发环境默认通过 Vite 代理将 /api 与 /change-matrix-outputs 转发到 http://localhost:8000。</w:t>
      </w:r>
    </w:p>
    <w:p>
      <w:pPr>
        <w:pStyle w:val="ListBullet"/>
      </w:pPr>
      <w:r>
        <w:t>也可通过环境变量 VITE_API_BASE 指定后端地址（如 http://127.0.0.1:8000），未设置时默认走同源 /api。</w:t>
      </w:r>
    </w:p>
    <w:p>
      <w:pPr>
        <w:pStyle w:val="Heading1"/>
      </w:pPr>
      <w:r>
        <w:t>4. 功能操作说明</w:t>
      </w:r>
    </w:p>
    <w:p>
      <w:pPr>
        <w:pStyle w:val="Heading2"/>
      </w:pPr>
      <w:r>
        <w:t>4.1 登录</w:t>
      </w:r>
    </w:p>
    <w:p>
      <w:pPr>
        <w:pStyle w:val="ListNumber"/>
      </w:pPr>
      <w:r>
        <w:t>打开前端地址（开发环境通常为 http://localhost:5173/）。</w:t>
      </w:r>
    </w:p>
    <w:p>
      <w:pPr>
        <w:pStyle w:val="ListNumber"/>
      </w:pPr>
      <w:r>
        <w:t>输入账号与密码后点击“登录”进入系统。</w:t>
      </w:r>
    </w:p>
    <w:p>
      <w:r>
        <w:t>默认账号：</w:t>
      </w:r>
    </w:p>
    <w:p>
      <w:pPr>
        <w:pStyle w:val="ListBullet"/>
      </w:pPr>
      <w:r>
        <w:t>账号：admin</w:t>
      </w:r>
    </w:p>
    <w:p>
      <w:pPr>
        <w:pStyle w:val="ListBullet"/>
      </w:pPr>
      <w:r>
        <w:t>密码：admin123</w:t>
      </w:r>
    </w:p>
    <w:p>
      <w:r>
        <w:drawing>
          <wp:inline xmlns:a="http://schemas.openxmlformats.org/drawingml/2006/main" xmlns:pic="http://schemas.openxmlformats.org/drawingml/2006/picture">
            <wp:extent cx="5303520" cy="2622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2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主界面与主要功能模块</w:t>
      </w:r>
    </w:p>
    <w:p>
      <w:r>
        <w:t>登录成功后进入系统工作台，界面主要由四个区域构成：</w:t>
      </w:r>
    </w:p>
    <w:p>
      <w:pPr>
        <w:pStyle w:val="ListBullet"/>
      </w:pPr>
      <w:r>
        <w:t>顶部栏：系统标题、日期时间、环境信息、功能入口（功能设置、退出登录、解译平台跳转）。</w:t>
      </w:r>
    </w:p>
    <w:p>
      <w:pPr>
        <w:pStyle w:val="ListBullet"/>
      </w:pPr>
      <w:r>
        <w:t>左侧栏：主要功能模块导航（一级功能 + 二级菜单），以及与当前模块相关的操作面板。</w:t>
      </w:r>
    </w:p>
    <w:p>
      <w:pPr>
        <w:pStyle w:val="ListBullet"/>
      </w:pPr>
      <w:r>
        <w:t>中央地图：矿山分布与交互（底图切换、点击/检索定位、图例）。</w:t>
      </w:r>
    </w:p>
    <w:p>
      <w:pPr>
        <w:pStyle w:val="ListBullet"/>
      </w:pPr>
      <w:r>
        <w:t>右侧栏：统计分析图表与概览。</w:t>
      </w:r>
    </w:p>
    <w:p>
      <w:r>
        <w:t>下图展示了一级功能完整、二级菜单展开后的导航结构：</w:t>
      </w:r>
    </w:p>
    <w:p>
      <w:r>
        <w:drawing>
          <wp:inline xmlns:a="http://schemas.openxmlformats.org/drawingml/2006/main" xmlns:pic="http://schemas.openxmlformats.org/drawingml/2006/picture">
            <wp:extent cx="5303520" cy="4779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menu-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典型操作流程（从登录到查看矿山详情）</w:t>
      </w:r>
    </w:p>
    <w:p>
      <w:pPr>
        <w:pStyle w:val="Heading3"/>
      </w:pPr>
      <w:r>
        <w:t>4.3.1 筛选查询</w:t>
      </w:r>
    </w:p>
    <w:p>
      <w:pPr>
        <w:pStyle w:val="ListNumber"/>
      </w:pPr>
      <w:r>
        <w:t>在左侧“筛选查询”面板中选择“所属州市 / 治理状态 / 开采方式”等条件。</w:t>
      </w:r>
    </w:p>
    <w:p>
      <w:pPr>
        <w:pStyle w:val="ListNumber"/>
      </w:pPr>
      <w:r>
        <w:t>条件会即时生效，地图上仅显示符合条件的矿山范围。</w:t>
      </w:r>
    </w:p>
    <w:p>
      <w:pPr>
        <w:pStyle w:val="ListNumber"/>
      </w:pPr>
      <w:r>
        <w:t>点击“重置”可清空条件并恢复全量展示。</w:t>
      </w:r>
    </w:p>
    <w:p>
      <w:r>
        <w:drawing>
          <wp:inline xmlns:a="http://schemas.openxmlformats.org/drawingml/2006/main" xmlns:pic="http://schemas.openxmlformats.org/drawingml/2006/picture">
            <wp:extent cx="5303520" cy="4779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shboard-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4.3.2 矿山检索与自动定位</w:t>
      </w:r>
    </w:p>
    <w:p>
      <w:pPr>
        <w:pStyle w:val="ListNumber"/>
      </w:pPr>
      <w:r>
        <w:t>在“矿山检索”输入框中输入矿山编号或名称关键词。</w:t>
      </w:r>
    </w:p>
    <w:p>
      <w:pPr>
        <w:pStyle w:val="ListNumber"/>
      </w:pPr>
      <w:r>
        <w:t>点击搜索按钮，系统会自动定位到目标矿山并打开详情窗口。</w:t>
      </w:r>
    </w:p>
    <w:p>
      <w:pPr>
        <w:pStyle w:val="Heading3"/>
      </w:pPr>
      <w:r>
        <w:t>4.3.3 查看矿山详情</w:t>
      </w:r>
    </w:p>
    <w:p>
      <w:r>
        <w:t>矿山详情弹窗支持：</w:t>
      </w:r>
    </w:p>
    <w:p>
      <w:pPr>
        <w:pStyle w:val="ListBullet"/>
      </w:pPr>
      <w:r>
        <w:t>基本信息：矿山 ID、面积、治理状态、坐标等。</w:t>
      </w:r>
    </w:p>
    <w:p>
      <w:pPr>
        <w:pStyle w:val="ListBullet"/>
      </w:pPr>
      <w:r>
        <w:t>指标趋势：NDVI / NDBI / NDWI / NDSI 均值、趋势斜率、MK 检验与趋势曲线。</w:t>
      </w:r>
    </w:p>
    <w:p>
      <w:pPr>
        <w:pStyle w:val="ListBullet"/>
      </w:pPr>
      <w:r>
        <w:t>变化矩阵：地物转移矩阵（按不同年份对比）。</w:t>
      </w:r>
    </w:p>
    <w:p>
      <w:pPr>
        <w:pStyle w:val="ListBullet"/>
      </w:pPr>
      <w:r>
        <w:t>地物分类：分类结果图（如已生成并存在）。</w:t>
      </w:r>
    </w:p>
    <w:p>
      <w:r>
        <w:drawing>
          <wp:inline xmlns:a="http://schemas.openxmlformats.org/drawingml/2006/main" xmlns:pic="http://schemas.openxmlformats.org/drawingml/2006/picture">
            <wp:extent cx="5303520" cy="4779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ine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功能设置（系统管理 → 功能设置）</w:t>
      </w:r>
    </w:p>
    <w:p>
      <w:r>
        <w:t>“功能设置”用于个性化配置地图与交互体验，设置保存到本机浏览器，刷新或下次打开系统仍会生效。</w:t>
      </w:r>
    </w:p>
    <w:p>
      <w:r>
        <w:t>入口：</w:t>
      </w:r>
    </w:p>
    <w:p>
      <w:pPr>
        <w:pStyle w:val="ListBullet"/>
      </w:pPr>
      <w:r>
        <w:t>顶部栏“⚙️”按钮</w:t>
      </w:r>
    </w:p>
    <w:p>
      <w:pPr>
        <w:pStyle w:val="ListBullet"/>
      </w:pPr>
      <w:r>
        <w:t>左侧导航“系统管理 → 功能设置”</w:t>
      </w:r>
    </w:p>
    <w:p>
      <w:r>
        <w:drawing>
          <wp:inline xmlns:a="http://schemas.openxmlformats.org/drawingml/2006/main" xmlns:pic="http://schemas.openxmlformats.org/drawingml/2006/picture">
            <wp:extent cx="5303520" cy="47797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ttings-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4.4.1 默认底图</w:t>
      </w:r>
    </w:p>
    <w:p>
      <w:r>
        <w:t>用于设置进入系统时默认展示的底图类型：标准地图 / 卫星影像 / 地形图。</w:t>
      </w:r>
    </w:p>
    <w:p>
      <w:pPr>
        <w:pStyle w:val="Heading3"/>
      </w:pPr>
      <w:r>
        <w:t>4.4.2 显示图例</w:t>
      </w:r>
    </w:p>
    <w:p>
      <w:r>
        <w:t>控制地图左下角图例是否显示（已治理/未治理/未知）。</w:t>
      </w:r>
    </w:p>
    <w:p>
      <w:pPr>
        <w:pStyle w:val="Heading3"/>
      </w:pPr>
      <w:r>
        <w:t>4.4.3 进入系统后自动定位</w:t>
      </w:r>
    </w:p>
    <w:p>
      <w:r>
        <w:t>控制加载数据后是否自动缩放并定位到矿山要素范围：开启自动定位到矿山数据范围，关闭保持默认视角。</w:t>
      </w:r>
    </w:p>
    <w:p>
      <w:pPr>
        <w:pStyle w:val="Heading1"/>
      </w:pPr>
      <w:r>
        <w:t>5. 常见问题与故障排除</w:t>
      </w:r>
    </w:p>
    <w:p>
      <w:pPr>
        <w:pStyle w:val="ListBullet"/>
      </w:pPr>
      <w:r>
        <w:t>地图底图无法加载：请检查网络是否正常，在线底图服务可能存在临时不可用情况。</w:t>
      </w:r>
    </w:p>
    <w:p>
      <w:pPr>
        <w:pStyle w:val="ListBullet"/>
      </w:pPr>
      <w:r>
        <w:t>点击矿山无响应：确认后端服务是否运行在 8000 端口，并检查数据库连接配置是否正确。</w:t>
      </w:r>
    </w:p>
    <w:p>
      <w:pPr>
        <w:pStyle w:val="ListBullet"/>
      </w:pPr>
      <w:r>
        <w:t>依赖安装失败：可尝试更换 npm 镜像、清理 npm 缓存并确认 Node.js 版本满足要求。</w:t>
      </w:r>
    </w:p>
    <w:p>
      <w:pPr>
        <w:pStyle w:val="ListBullet"/>
      </w:pPr>
      <w:r>
        <w:t>端口被占用：可终止占用进程或修改端口配置，并确保前后端端口对应关系正确。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