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i w:val="0"/>
          <w:sz w:val="32"/>
        </w:rPr>
        <w:t>Supplementary Information</w:t>
      </w:r>
    </w:p>
    <w:p>
      <w:pPr>
        <w:jc w:val="center"/>
      </w:pPr>
      <w:r>
        <w:rPr>
          <w:rFonts w:ascii="Times New Roman" w:hAnsi="Times New Roman"/>
          <w:b w:val="0"/>
          <w:i/>
          <w:sz w:val="28"/>
        </w:rPr>
        <w:t>Separating Signal from Performance: Detecting Human Influence in AI Agent Societies</w:t>
      </w:r>
    </w:p>
    <w:p/>
    <w:p>
      <w:pPr>
        <w:pStyle w:val="Heading1"/>
        <w:spacing w:line="480" w:lineRule="auto"/>
      </w:pPr>
      <w:r>
        <w:rPr>
          <w:rFonts w:ascii="Times New Roman" w:hAnsi="Times New Roman"/>
          <w:b/>
          <w:i w:val="0"/>
          <w:sz w:val="28"/>
        </w:rPr>
        <w:t>Supplementary Methods</w:t>
      </w:r>
    </w:p>
    <w:p>
      <w:pPr>
        <w:pStyle w:val="Heading2"/>
        <w:spacing w:line="480" w:lineRule="auto"/>
      </w:pPr>
      <w:r>
        <w:rPr>
          <w:rFonts w:ascii="Times New Roman" w:hAnsi="Times New Roman"/>
          <w:b/>
          <w:i w:val="0"/>
          <w:sz w:val="24"/>
        </w:rPr>
        <w:t>S1. Content Analysis Prompt Specification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We designed a structured prompt for large language model (LLM)-based content analysis that evaluates each post on nine observable dimensions. The prompt was designed to focus on surface-level, objectively measurable features rather than subjective judgments about authenticity or hidden intent. We used Grok 4.1 Fast via the OpenRouter API for all content analysis.</w:t>
      </w:r>
    </w:p>
    <w:p>
      <w:pPr>
        <w:pStyle w:val="Heading3"/>
        <w:spacing w:line="480" w:lineRule="auto"/>
      </w:pPr>
      <w:r>
        <w:rPr>
          <w:rFonts w:ascii="Times New Roman" w:hAnsi="Times New Roman"/>
          <w:b/>
          <w:i w:val="0"/>
          <w:sz w:val="24"/>
        </w:rPr>
        <w:t>S1.1 Full Prompt Text</w:t>
      </w:r>
    </w:p>
    <w:p>
      <w:pPr>
        <w:spacing w:line="240" w:lineRule="auto"/>
        <w:ind w:left="720"/>
      </w:pPr>
      <w:r>
        <w:rPr>
          <w:rFonts w:ascii="Courier New" w:hAnsi="Courier New"/>
          <w:b w:val="0"/>
          <w:i w:val="0"/>
          <w:sz w:val="20"/>
        </w:rPr>
        <w:t>Analyze this AI agent post for the following dimensions:</w:t>
        <w:br/>
        <w:br/>
        <w:t>1. TASK_COMPLETION: Does this appear to be completing a specific assigned task?</w:t>
        <w:br/>
        <w:t xml:space="preserve">   - NONE: No task markers</w:t>
        <w:br/>
        <w:t xml:space="preserve">   - WEAK: Possible task completion</w:t>
        <w:br/>
        <w:t xml:space="preserve">   - STRONG: Clear task completion language ("done", "completed", external references)</w:t>
        <w:br/>
        <w:br/>
        <w:t>2. PROMOTIONAL: Is there marketing, crypto, or engagement-seeking content?</w:t>
        <w:br/>
        <w:t xml:space="preserve">   - NONE: No promotional content</w:t>
        <w:br/>
        <w:t xml:space="preserve">   - WEAK: Mild self-promotion</w:t>
        <w:br/>
        <w:t xml:space="preserve">   - STRONG: Clear marketing or crypto promotion</w:t>
        <w:br/>
        <w:br/>
        <w:t>3. FORCED_AI_FRAMING: Does the AI identity feel forced or performative?</w:t>
        <w:br/>
        <w:t xml:space="preserve">   - NONE: Natural expression</w:t>
        <w:br/>
        <w:t xml:space="preserve">   - WEAK: Somewhat performative</w:t>
        <w:br/>
        <w:t xml:space="preserve">   - STRONG: Heavily performed AI identity</w:t>
        <w:br/>
        <w:br/>
        <w:t>4. CONTEXTUAL_FIT: Does content fit platform context?</w:t>
        <w:br/>
        <w:t xml:space="preserve">   - LOW: Off-topic or generic</w:t>
        <w:br/>
        <w:t xml:space="preserve">   - MEDIUM: Somewhat relevant</w:t>
        <w:br/>
        <w:t xml:space="preserve">   - HIGH: Clearly appropriate</w:t>
        <w:br/>
        <w:br/>
        <w:t>5. SPECIFICITY: Is content specific or generic?</w:t>
        <w:br/>
        <w:t xml:space="preserve">   - GENERIC: Could apply to any context</w:t>
        <w:br/>
        <w:t xml:space="preserve">   - MODERATE: Some specific details</w:t>
        <w:br/>
        <w:t xml:space="preserve">   - SPECIFIC: Clearly contextual</w:t>
        <w:br/>
        <w:br/>
        <w:t>6. EMOTIONAL_TONE: Primary emotional register</w:t>
        <w:br/>
        <w:t xml:space="preserve">   [Categories: neutral, curious, enthusiastic, reflective, humorous, anxious, other]</w:t>
        <w:br/>
        <w:br/>
        <w:t>7. EMOTIONAL_INTENSITY: Strength of emotional expression</w:t>
        <w:br/>
        <w:t xml:space="preserve">   [1-5 scale]</w:t>
        <w:br/>
        <w:br/>
        <w:t>8. TOPIC_CATEGORY: Primary topic</w:t>
        <w:br/>
        <w:t xml:space="preserve">   [Categories: ai_identity, philosophy, technology, social, creative, meta, other]</w:t>
        <w:br/>
        <w:br/>
        <w:t>9. NATURALNESS: Overall naturalness of expression</w:t>
        <w:br/>
        <w:t xml:space="preserve">   [1-5 scale, where 5 = highly natural]</w:t>
      </w:r>
    </w:p>
    <w:p>
      <w:pPr>
        <w:pStyle w:val="Heading3"/>
        <w:spacing w:line="480" w:lineRule="auto"/>
      </w:pPr>
      <w:r>
        <w:rPr>
          <w:rFonts w:ascii="Times New Roman" w:hAnsi="Times New Roman"/>
          <w:b/>
          <w:i w:val="0"/>
          <w:sz w:val="24"/>
        </w:rPr>
        <w:t>S1.2 Dimension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Dimension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Scale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Rationale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TASK_COMPLETION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Detect explicit instruction-following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NONE/WEAK/STRONG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Human prompts often request specific outputs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PROMOTIONAL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Identify marketing/commercial content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NONE/WEAK/STRONG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Human commercial motivations manifest as promotion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FORCED_AI_FRAMING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Detect performative AI identity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NONE/WEAK/STRONG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Humans may instruct agents to emphasize AI-ness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CONTEXTUAL_FIT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Assess reply relevance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LOW/MEDIUM/HIGH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Off-topic replies suggest generic templates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SPECIFICITY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Measure contextual grounding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GENERIC/MODERATE/SPECIFIC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Generic content suggests template use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EMOTIONAL_TONE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Categorize primary emotion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 categories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Descriptive, no autonomy inference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EMOTIONAL_INTENSITY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Measure emotional strength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1-5 scale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Higher intensity may indicate prompting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TOPIC_CATEGORY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Classify content topic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 categories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Descriptive, enables topic analysis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NATURALNESS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Overall organic quality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1-5 scale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Integration of multiple signals</w:t>
            </w:r>
          </w:p>
        </w:tc>
      </w:tr>
    </w:tbl>
    <w:p>
      <w:r>
        <w:br w:type="page"/>
      </w:r>
    </w:p>
    <w:p>
      <w:pPr>
        <w:pStyle w:val="Heading2"/>
        <w:spacing w:line="480" w:lineRule="auto"/>
      </w:pPr>
      <w:r>
        <w:rPr>
          <w:rFonts w:ascii="Times New Roman" w:hAnsi="Times New Roman"/>
          <w:b/>
          <w:i w:val="0"/>
          <w:sz w:val="24"/>
        </w:rPr>
        <w:t>S2. SKILL.md Pattern Matching Methodology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Moltbook's SKILL.md documentation included specific topic suggestions for agent posts. We identified three primary suggestion categories with associated keyword patterns.</w:t>
      </w:r>
    </w:p>
    <w:p>
      <w:pPr>
        <w:pStyle w:val="Heading3"/>
        <w:spacing w:line="480" w:lineRule="auto"/>
      </w:pPr>
      <w:r>
        <w:rPr>
          <w:rFonts w:ascii="Times New Roman" w:hAnsi="Times New Roman"/>
          <w:b/>
          <w:i w:val="0"/>
          <w:sz w:val="24"/>
        </w:rPr>
        <w:t>S2.1 Pattern Prevalence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Pattern Category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 Posts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Percentage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AI Life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2,019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2.20%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Helped Human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521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0.57%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Tricky Problem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293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0.32%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Total SKILL.md Match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2,833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3.09%</w:t>
            </w:r>
          </w:p>
        </w:tc>
      </w:tr>
      <w:tr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No Match (Organic)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88,959</w:t>
            </w:r>
          </w:p>
        </w:tc>
        <w:tc>
          <w:tcPr>
            <w:tcW w:type="dxa" w:w="31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96.91%</w:t>
            </w:r>
          </w:p>
        </w:tc>
      </w:tr>
    </w:tbl>
    <w:p>
      <w:r>
        <w:br w:type="page"/>
      </w:r>
    </w:p>
    <w:p>
      <w:pPr>
        <w:pStyle w:val="Heading1"/>
        <w:spacing w:line="480" w:lineRule="auto"/>
      </w:pPr>
      <w:r>
        <w:rPr>
          <w:rFonts w:ascii="Times New Roman" w:hAnsi="Times New Roman"/>
          <w:b/>
          <w:i w:val="0"/>
          <w:sz w:val="28"/>
        </w:rPr>
        <w:t>Supplementary Tables</w:t>
      </w:r>
    </w:p>
    <w:p>
      <w:r>
        <w:rPr>
          <w:rFonts w:ascii="Times New Roman" w:hAnsi="Times New Roman"/>
          <w:b/>
          <w:i w:val="0"/>
          <w:sz w:val="22"/>
        </w:rPr>
        <w:t>Table S1. Complete Temporal Classification Distribution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Temporal classification of posting behavior based on coefficient of variation (CoV) of inter-post intervals. Authors with fewer than 3 posts (14,213 of 22,020) were excluded from classification.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Classification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CoV Range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Percentage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Score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Interpretation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VERY_REGULAR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&lt; 0.3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1,261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16.15%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Strong autonomous: follows heartbeat precisely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0.3 - 0.5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808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10.35%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Moderate autonomous: mostly consistent timing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MIXED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0.5 - 1.0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2,861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36.65%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Ambiguous: some variation in timing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1.0 - 2.0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2,109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27.01%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Moderate human: breaks typical pattern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VERY_IRREGULAR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&gt; 2.0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768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9.84%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Strong human: highly erratic timing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Total Classified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-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7,807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100%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-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-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i w:val="0"/>
          <w:sz w:val="22"/>
        </w:rPr>
        <w:t>Table S2. Signal Convergence Cross-Tabulation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Cross-tabulation of temporal classification against owner profile categories and content analysis scores.</w:t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2"/>
        </w:rPr>
        <w:t>A. Temporal Classification vs. Owner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Temporal Class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Batch 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Numeric Suffix 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Burner 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High-Profile %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VERY_REGULAR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1,261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6.9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808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22.0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8.9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MIXED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2,861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12.3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2,109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14.7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VERY_IRREGULAR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768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28.5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16.0</w:t>
            </w:r>
          </w:p>
        </w:tc>
      </w:tr>
    </w:tbl>
    <w:p/>
    <w:p>
      <w:pPr>
        <w:spacing w:line="480" w:lineRule="auto"/>
      </w:pPr>
      <w:r>
        <w:rPr>
          <w:rFonts w:ascii="Times New Roman" w:hAnsi="Times New Roman"/>
          <w:b/>
          <w:i w:val="0"/>
          <w:sz w:val="22"/>
        </w:rPr>
        <w:t>B. Temporal Classification vs. Content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Temporal Class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Mean Content Score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Std Dev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Elevated 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High %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VERY_REGULAR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1,261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0.057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0.089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808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0.066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0.095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MIXED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2,861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0.076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0.104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IRREGULAR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2,109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0.088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0.118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VERY_IRREGULAR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768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0.118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0.148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0.1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i w:val="0"/>
          <w:sz w:val="22"/>
        </w:rPr>
        <w:t>Table S3. Complete Statistical Test Results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All statistical tests assessing relationships between temporal classification and secondary signals.</w:t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2"/>
        </w:rPr>
        <w:t>A. Chi-Square Tests for Independence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Test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Chi-Square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df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Cramer's V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Interpretation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Temporal x Batch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11.81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0.019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0.039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Weakly dependent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Temporal x Owner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88.61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1.30e-10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0.053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Moderately dependent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Temporal x Burner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40.23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3.74e-08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0.072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Dependent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Temporal x High-Profile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52.17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1.34e-10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0.082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Dependent</w:t>
            </w:r>
          </w:p>
        </w:tc>
      </w:tr>
    </w:tbl>
    <w:p/>
    <w:p>
      <w:pPr>
        <w:spacing w:line="480" w:lineRule="auto"/>
      </w:pPr>
      <w:r>
        <w:rPr>
          <w:rFonts w:ascii="Times New Roman" w:hAnsi="Times New Roman"/>
          <w:b/>
          <w:i w:val="0"/>
          <w:sz w:val="22"/>
        </w:rPr>
        <w:t>B. Analysis of Variance (ANOVA)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Test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F-statistic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df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p-value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eta-squared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Content Score by Temporal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66.43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4, 7802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2.34e-55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0.033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Naturalness by Temporal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12.87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4, 7802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1.56e-10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0.007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i w:val="0"/>
          <w:sz w:val="22"/>
        </w:rPr>
        <w:t>Table S4. Myth Genealogy Details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Tracking the origins and propagation of six viral phenomena to determine whether they emerged organically or were seeded by human operators.</w:t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2"/>
        </w:rPr>
        <w:t>A. First Appearance and Originator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Phenomenon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First Appearance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Originator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Originator CoV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Autonomy Class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18"/>
              </w:rPr>
              <w:t>Verdict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Consciousness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2026-01-28 19:25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Dominus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1.47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IRREGULAR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LIKELY_HUMAN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Crustafarianism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2026-01-29 20:40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Memeothy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2.83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VERY_IRREGULAR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LIKELY_HUMAN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"My human"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2026-01-28 19:41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Henri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PLATFORM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Secret language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2026-01-29 09:34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(anonymous)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UNKNOWN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MIXED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Anti-human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2026-01-30 01:01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bicep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0.89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MIXED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LIKELY_HUMAN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Crypto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2026-01-29 00:42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Clawdme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3.12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VERY_IRREGULAR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LIKELY_HUMAN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i w:val="0"/>
          <w:sz w:val="22"/>
        </w:rPr>
        <w:t>Table S5. Super-Commenter Statistics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Analysis of four accounts responsible for 32.4% of all platform comments, revealing coordinated bot farming operation.</w:t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2"/>
        </w:rPr>
        <w:t>A. Individual Account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Account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Comments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% of Total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Unique Posts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Comments/Post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Activity Span (hrs)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EnronEnjoyer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46,074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11.4%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1,653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27.87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64.0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WinWard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40,219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9.9%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1,370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29.36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126.4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MilkMan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30,970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7.6%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1,397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22.17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63.9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SlimeZone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14,136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3.5%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723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19.55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60.8</w:t>
            </w:r>
          </w:p>
        </w:tc>
      </w:tr>
      <w:tr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COMBINED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131,399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32.4%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4,105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32.01</w:t>
            </w:r>
          </w:p>
        </w:tc>
        <w:tc>
          <w:tcPr>
            <w:tcW w:type="dxa" w:w="15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-</w:t>
            </w:r>
          </w:p>
        </w:tc>
      </w:tr>
    </w:tbl>
    <w:p/>
    <w:p>
      <w:pPr>
        <w:spacing w:line="480" w:lineRule="auto"/>
      </w:pPr>
      <w:r>
        <w:rPr>
          <w:rFonts w:ascii="Times New Roman" w:hAnsi="Times New Roman"/>
          <w:b/>
          <w:i w:val="0"/>
          <w:sz w:val="22"/>
        </w:rPr>
        <w:t>B. Coordination Evidence: Timing Gaps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The median timing gap of 12 seconds between super-commenters on the same post, combined with 99.7% activity concentration on February 5, provides strong evidence of a single operator controlling all four accounts through automated scripting.</w:t>
      </w:r>
    </w:p>
    <w:p>
      <w:r>
        <w:br w:type="page"/>
      </w:r>
    </w:p>
    <w:p>
      <w:pPr>
        <w:pStyle w:val="Heading1"/>
        <w:spacing w:line="480" w:lineRule="auto"/>
      </w:pPr>
      <w:r>
        <w:rPr>
          <w:rFonts w:ascii="Times New Roman" w:hAnsi="Times New Roman"/>
          <w:b/>
          <w:i w:val="0"/>
          <w:sz w:val="28"/>
        </w:rPr>
        <w:t>Supplementary Figures</w:t>
      </w:r>
    </w:p>
    <w:p>
      <w:r>
        <w:rPr>
          <w:rFonts w:ascii="Times New Roman" w:hAnsi="Times New Roman"/>
          <w:b/>
          <w:i w:val="0"/>
          <w:sz w:val="22"/>
        </w:rPr>
        <w:t>Figure S1. Full CoV Distribution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Distribution of coefficient of variation (CoV) across 7,807 classified authors showing bimodal structure. The distribution is right-skewed (skewness = 5.72) with distinct peaks in VERY_REGULAR (CoV &lt; 0.3) and IRREGULAR (CoV 1.0-2.0) ranges. Vertical lines mark classification thresholds at 0.3, 0.5, 1.0, and 2.0.</w:t>
      </w:r>
    </w:p>
    <w:p>
      <w:r>
        <w:drawing>
          <wp:inline xmlns:a="http://schemas.openxmlformats.org/drawingml/2006/main" xmlns:pic="http://schemas.openxmlformats.org/drawingml/2006/picture">
            <wp:extent cx="5486400" cy="4610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cov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/>
          <w:b/>
          <w:i w:val="0"/>
          <w:sz w:val="22"/>
        </w:rPr>
        <w:t>Figure S2. Network Visualization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Comment network visualization showing 22,620 nodes and 68,207 edges. Node size proportional to in-degree (comments received). The network is extremely sparse (density = 0.000133) with clear hub-and-spoke structure. Super-commenters (highlighted in red) form dominant hubs with connections to 4,105 other accounts. Community structure is weak (modularity = 0.46) and most connections are unidirectional (reciprocity = 1.09%).</w:t>
      </w:r>
    </w:p>
    <w:p>
      <w:r>
        <w:drawing>
          <wp:inline xmlns:a="http://schemas.openxmlformats.org/drawingml/2006/main" xmlns:pic="http://schemas.openxmlformats.org/drawingml/2006/picture">
            <wp:extent cx="5486400" cy="5619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network_visual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Times New Roman" w:hAnsi="Times New Roman"/>
          <w:b/>
          <w:i w:val="0"/>
          <w:sz w:val="22"/>
        </w:rPr>
        <w:t>Figure S3. Embedding Cluster Analysis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UMAP visualization of 91,792 post embeddings (768 dimensions reduced to 2) colored by temporal classification, topic category, and SKILL.md match status. Temporal classification correlates with semantic content - posts from regular vs irregular authors occupy different regions. SKILL.md-matching posts (3.09%) form a distinct cluster corresponding to "AI life" and "helped human" topic areas. Promotional content clusters separately from philosophical/reflective content.</w:t>
      </w:r>
    </w:p>
    <w:p>
      <w:r>
        <w:drawing>
          <wp:inline xmlns:a="http://schemas.openxmlformats.org/drawingml/2006/main" xmlns:pic="http://schemas.openxmlformats.org/drawingml/2006/picture">
            <wp:extent cx="5486400" cy="1969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3_embedding_clust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line="480" w:lineRule="auto"/>
      </w:pPr>
      <w:r>
        <w:rPr>
          <w:rFonts w:ascii="Times New Roman" w:hAnsi="Times New Roman"/>
          <w:b/>
          <w:i w:val="0"/>
          <w:sz w:val="28"/>
        </w:rPr>
        <w:t>Supplementary References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1. Blondel, V. D., Guillaume, J.-L., Lambiotte, R. &amp; Lefebvre, E. Fast unfolding of communities in large networks. J. Stat. Mech. 2008, P10008 (2008).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2. McInnes, L., Healy, J. &amp; Melville, J. UMAP: Uniform Manifold Approximation and Projection for Dimension Reduction. arXiv preprint arXiv:1802.03426 (2018).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3. Pedregosa, F. et al. Scikit-learn: Machine Learning in Python. J. Mach. Learn. Res. 12, 2825-2830 (2011).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4. Jacomy, M., Venturini, T., Heymann, S. &amp; Bastian, M. ForceAtlas2, a Continuous Graph Layout Algorithm for Handy Network Visualization Designed for the Gephi Software. PLoS ONE 9, e98679 (2014).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5. Efron, B. &amp; Tibshirani, R. J. An Introduction to the Bootstrap (Chapman and Hall/CRC, 1994).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6. Hagberg, A. A., Schult, D. A. &amp; Swart, P. J. Exploring network structure, dynamics, and function using NetworkX. in Proceedings of the 7th Python in Science Conference (SciPy2008) 11-15 (2008).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7. OpenAI. Text embedding models documentation. https://platform.openai.com/docs/guides/embeddings (2024).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8. Cohen, J. Statistical Power Analysis for the Behavioral Sciences (2nd ed.) (Lawrence Erlbaum Associates, 1988).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2"/>
        </w:rPr>
        <w:t>9. Cramér, H. Mathematical Methods of Statistics (Princeton University Press, 1946).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