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F84" w:rsidRDefault="003B685E">
      <w:r>
        <w:t>Supplementary Material</w:t>
      </w:r>
    </w:p>
    <w:p w:rsidR="003B685E" w:rsidRDefault="00182A11">
      <w:r>
        <w:t xml:space="preserve">Table A: POX/PenV </w:t>
      </w:r>
      <w:r w:rsidR="00A15504">
        <w:t>c</w:t>
      </w:r>
      <w:r>
        <w:t>oncentration levels for single analyte and binary standards.</w:t>
      </w:r>
    </w:p>
    <w:tbl>
      <w:tblPr>
        <w:tblStyle w:val="TableGrid"/>
        <w:tblW w:w="0" w:type="auto"/>
        <w:tblLayout w:type="fixed"/>
        <w:tblLook w:val="00A0"/>
      </w:tblPr>
      <w:tblGrid>
        <w:gridCol w:w="2551"/>
        <w:gridCol w:w="1843"/>
      </w:tblGrid>
      <w:tr w:rsidR="00A15504" w:rsidRPr="0033393D" w:rsidTr="00A15504">
        <w:trPr>
          <w:trHeight w:val="441"/>
        </w:trPr>
        <w:tc>
          <w:tcPr>
            <w:tcW w:w="2551" w:type="dxa"/>
          </w:tcPr>
          <w:p w:rsidR="00A15504" w:rsidRPr="0033393D" w:rsidRDefault="00A15504" w:rsidP="00A76786">
            <w:pPr>
              <w:pStyle w:val="Table"/>
              <w:rPr>
                <w:b/>
                <w:bCs/>
              </w:rPr>
            </w:pPr>
            <w:r w:rsidRPr="0033393D">
              <w:rPr>
                <w:bCs/>
              </w:rPr>
              <w:t>Phenoxyacetic acid [g/l]</w:t>
            </w:r>
          </w:p>
        </w:tc>
        <w:tc>
          <w:tcPr>
            <w:tcW w:w="1843" w:type="dxa"/>
          </w:tcPr>
          <w:p w:rsidR="00A15504" w:rsidRPr="0033393D" w:rsidRDefault="00A15504" w:rsidP="00A76786">
            <w:pPr>
              <w:pStyle w:val="Table"/>
              <w:rPr>
                <w:b/>
                <w:bCs/>
              </w:rPr>
            </w:pPr>
            <w:r w:rsidRPr="0033393D">
              <w:rPr>
                <w:bCs/>
              </w:rPr>
              <w:t>Penicillin V [g/l]</w:t>
            </w:r>
          </w:p>
        </w:tc>
      </w:tr>
      <w:tr w:rsidR="00A15504" w:rsidRPr="0033393D" w:rsidTr="00A15504">
        <w:tc>
          <w:tcPr>
            <w:tcW w:w="2551" w:type="dxa"/>
          </w:tcPr>
          <w:p w:rsidR="00A15504" w:rsidRPr="0033393D" w:rsidRDefault="00A15504" w:rsidP="00A76786">
            <w:pPr>
              <w:pStyle w:val="Table"/>
            </w:pPr>
            <w:r w:rsidRPr="0033393D">
              <w:t>0.3</w:t>
            </w:r>
          </w:p>
        </w:tc>
        <w:tc>
          <w:tcPr>
            <w:tcW w:w="1843" w:type="dxa"/>
          </w:tcPr>
          <w:p w:rsidR="00A15504" w:rsidRPr="0033393D" w:rsidRDefault="00A15504" w:rsidP="00A76786">
            <w:pPr>
              <w:pStyle w:val="Table"/>
            </w:pPr>
            <w:r>
              <w:t>-</w:t>
            </w:r>
          </w:p>
        </w:tc>
      </w:tr>
      <w:tr w:rsidR="00A15504" w:rsidRPr="0033393D" w:rsidTr="00A15504">
        <w:tc>
          <w:tcPr>
            <w:tcW w:w="2551" w:type="dxa"/>
          </w:tcPr>
          <w:p w:rsidR="00A15504" w:rsidRPr="0033393D" w:rsidRDefault="00A15504" w:rsidP="00A76786">
            <w:pPr>
              <w:pStyle w:val="Table"/>
            </w:pPr>
            <w:r w:rsidRPr="0033393D">
              <w:t>0.8</w:t>
            </w:r>
          </w:p>
        </w:tc>
        <w:tc>
          <w:tcPr>
            <w:tcW w:w="1843" w:type="dxa"/>
          </w:tcPr>
          <w:p w:rsidR="00A15504" w:rsidRPr="0033393D" w:rsidRDefault="00A15504" w:rsidP="00A76786">
            <w:pPr>
              <w:pStyle w:val="Table"/>
            </w:pPr>
            <w:r>
              <w:t>-</w:t>
            </w:r>
          </w:p>
        </w:tc>
      </w:tr>
      <w:tr w:rsidR="00A15504" w:rsidRPr="0033393D" w:rsidTr="00A15504">
        <w:tc>
          <w:tcPr>
            <w:tcW w:w="2551" w:type="dxa"/>
          </w:tcPr>
          <w:p w:rsidR="00A15504" w:rsidRPr="0033393D" w:rsidRDefault="00A15504" w:rsidP="00A76786">
            <w:pPr>
              <w:pStyle w:val="Table"/>
            </w:pPr>
            <w:r>
              <w:t>1.65</w:t>
            </w:r>
          </w:p>
        </w:tc>
        <w:tc>
          <w:tcPr>
            <w:tcW w:w="1843" w:type="dxa"/>
          </w:tcPr>
          <w:p w:rsidR="00A15504" w:rsidRPr="0033393D" w:rsidRDefault="00A15504" w:rsidP="00A15504">
            <w:pPr>
              <w:pStyle w:val="Table"/>
            </w:pPr>
            <w:r>
              <w:t>-</w:t>
            </w:r>
          </w:p>
        </w:tc>
      </w:tr>
      <w:tr w:rsidR="00A15504" w:rsidRPr="0033393D" w:rsidTr="00A15504">
        <w:tc>
          <w:tcPr>
            <w:tcW w:w="2551" w:type="dxa"/>
          </w:tcPr>
          <w:p w:rsidR="00A15504" w:rsidRPr="0033393D" w:rsidRDefault="00A15504" w:rsidP="00A76786">
            <w:pPr>
              <w:pStyle w:val="Table"/>
            </w:pPr>
            <w:r>
              <w:t>2.25</w:t>
            </w:r>
          </w:p>
        </w:tc>
        <w:tc>
          <w:tcPr>
            <w:tcW w:w="1843" w:type="dxa"/>
          </w:tcPr>
          <w:p w:rsidR="00A15504" w:rsidRPr="0033393D" w:rsidRDefault="00A15504" w:rsidP="00A76786">
            <w:pPr>
              <w:pStyle w:val="Table"/>
            </w:pPr>
            <w:r>
              <w:t>-</w:t>
            </w:r>
          </w:p>
        </w:tc>
      </w:tr>
      <w:tr w:rsidR="00A15504" w:rsidRPr="0033393D" w:rsidTr="00A15504">
        <w:tc>
          <w:tcPr>
            <w:tcW w:w="2551" w:type="dxa"/>
          </w:tcPr>
          <w:p w:rsidR="00A15504" w:rsidRPr="0033393D" w:rsidRDefault="00A15504" w:rsidP="00A76786">
            <w:pPr>
              <w:pStyle w:val="Table"/>
            </w:pPr>
            <w:r>
              <w:t>3</w:t>
            </w:r>
          </w:p>
        </w:tc>
        <w:tc>
          <w:tcPr>
            <w:tcW w:w="1843" w:type="dxa"/>
          </w:tcPr>
          <w:p w:rsidR="00A15504" w:rsidRPr="0033393D" w:rsidRDefault="00A15504" w:rsidP="00A76786">
            <w:pPr>
              <w:pStyle w:val="Table"/>
            </w:pPr>
            <w:r>
              <w:t>-</w:t>
            </w:r>
          </w:p>
        </w:tc>
      </w:tr>
      <w:tr w:rsidR="00A15504" w:rsidRPr="0033393D" w:rsidTr="00A15504">
        <w:tc>
          <w:tcPr>
            <w:tcW w:w="2551" w:type="dxa"/>
          </w:tcPr>
          <w:p w:rsidR="00A15504" w:rsidRPr="0033393D" w:rsidRDefault="00A15504" w:rsidP="00A76786">
            <w:pPr>
              <w:pStyle w:val="Table"/>
            </w:pPr>
            <w:r>
              <w:t>-</w:t>
            </w:r>
          </w:p>
        </w:tc>
        <w:tc>
          <w:tcPr>
            <w:tcW w:w="1843" w:type="dxa"/>
          </w:tcPr>
          <w:p w:rsidR="00A15504" w:rsidRPr="0033393D" w:rsidRDefault="00A15504" w:rsidP="00A76786">
            <w:pPr>
              <w:pStyle w:val="Table"/>
            </w:pPr>
            <w:r>
              <w:t>1</w:t>
            </w:r>
          </w:p>
        </w:tc>
      </w:tr>
      <w:tr w:rsidR="00A15504" w:rsidRPr="0033393D" w:rsidTr="00A15504">
        <w:tc>
          <w:tcPr>
            <w:tcW w:w="2551" w:type="dxa"/>
          </w:tcPr>
          <w:p w:rsidR="00A15504" w:rsidRPr="0033393D" w:rsidRDefault="00A15504" w:rsidP="00A76786">
            <w:pPr>
              <w:pStyle w:val="Table"/>
            </w:pPr>
            <w:r>
              <w:t>-</w:t>
            </w:r>
          </w:p>
        </w:tc>
        <w:tc>
          <w:tcPr>
            <w:tcW w:w="1843" w:type="dxa"/>
          </w:tcPr>
          <w:p w:rsidR="00A15504" w:rsidRPr="0033393D" w:rsidRDefault="00A15504" w:rsidP="00A76786">
            <w:pPr>
              <w:pStyle w:val="Table"/>
            </w:pPr>
            <w:r>
              <w:t>5</w:t>
            </w:r>
          </w:p>
        </w:tc>
      </w:tr>
      <w:tr w:rsidR="00A15504" w:rsidRPr="0033393D" w:rsidTr="00A15504">
        <w:tc>
          <w:tcPr>
            <w:tcW w:w="2551" w:type="dxa"/>
          </w:tcPr>
          <w:p w:rsidR="00A15504" w:rsidRPr="0033393D" w:rsidRDefault="00A15504" w:rsidP="00A76786">
            <w:pPr>
              <w:pStyle w:val="Table"/>
            </w:pPr>
            <w:r>
              <w:t>-</w:t>
            </w:r>
          </w:p>
        </w:tc>
        <w:tc>
          <w:tcPr>
            <w:tcW w:w="1843" w:type="dxa"/>
          </w:tcPr>
          <w:p w:rsidR="00A15504" w:rsidRPr="0033393D" w:rsidRDefault="00A15504" w:rsidP="00A76786">
            <w:pPr>
              <w:pStyle w:val="Table"/>
            </w:pPr>
            <w:r>
              <w:t>10</w:t>
            </w:r>
          </w:p>
        </w:tc>
      </w:tr>
      <w:tr w:rsidR="00A15504" w:rsidRPr="0033393D" w:rsidTr="00A15504">
        <w:tc>
          <w:tcPr>
            <w:tcW w:w="2551" w:type="dxa"/>
          </w:tcPr>
          <w:p w:rsidR="00A15504" w:rsidRPr="0033393D" w:rsidRDefault="00A15504" w:rsidP="00A76786">
            <w:pPr>
              <w:pStyle w:val="Table"/>
            </w:pPr>
            <w:r w:rsidRPr="0033393D">
              <w:t>0.3</w:t>
            </w:r>
          </w:p>
        </w:tc>
        <w:tc>
          <w:tcPr>
            <w:tcW w:w="1843" w:type="dxa"/>
          </w:tcPr>
          <w:p w:rsidR="00A15504" w:rsidRPr="0033393D" w:rsidRDefault="00A15504" w:rsidP="00A76786">
            <w:pPr>
              <w:pStyle w:val="Table"/>
            </w:pPr>
            <w:r w:rsidRPr="0033393D">
              <w:t>1</w:t>
            </w:r>
          </w:p>
        </w:tc>
      </w:tr>
      <w:tr w:rsidR="00A15504" w:rsidRPr="0033393D" w:rsidTr="00A15504">
        <w:tc>
          <w:tcPr>
            <w:tcW w:w="2551" w:type="dxa"/>
          </w:tcPr>
          <w:p w:rsidR="00A15504" w:rsidRPr="0033393D" w:rsidRDefault="00A15504" w:rsidP="00A76786">
            <w:pPr>
              <w:pStyle w:val="Table"/>
            </w:pPr>
            <w:r w:rsidRPr="0033393D">
              <w:t>1.65</w:t>
            </w:r>
          </w:p>
        </w:tc>
        <w:tc>
          <w:tcPr>
            <w:tcW w:w="1843" w:type="dxa"/>
          </w:tcPr>
          <w:p w:rsidR="00A15504" w:rsidRPr="0033393D" w:rsidRDefault="00A15504" w:rsidP="00A76786">
            <w:pPr>
              <w:pStyle w:val="Table"/>
            </w:pPr>
            <w:r w:rsidRPr="0033393D">
              <w:t>1</w:t>
            </w:r>
          </w:p>
        </w:tc>
      </w:tr>
      <w:tr w:rsidR="00A15504" w:rsidRPr="0033393D" w:rsidTr="00A15504">
        <w:tc>
          <w:tcPr>
            <w:tcW w:w="2551" w:type="dxa"/>
          </w:tcPr>
          <w:p w:rsidR="00A15504" w:rsidRPr="0033393D" w:rsidRDefault="00A15504" w:rsidP="00A76786">
            <w:pPr>
              <w:pStyle w:val="Table"/>
            </w:pPr>
            <w:r w:rsidRPr="0033393D">
              <w:t>3</w:t>
            </w:r>
          </w:p>
        </w:tc>
        <w:tc>
          <w:tcPr>
            <w:tcW w:w="1843" w:type="dxa"/>
          </w:tcPr>
          <w:p w:rsidR="00A15504" w:rsidRPr="0033393D" w:rsidRDefault="00A15504" w:rsidP="00A76786">
            <w:pPr>
              <w:pStyle w:val="Table"/>
            </w:pPr>
            <w:r w:rsidRPr="0033393D">
              <w:t>1</w:t>
            </w:r>
          </w:p>
        </w:tc>
      </w:tr>
      <w:tr w:rsidR="00A15504" w:rsidRPr="0033393D" w:rsidTr="00A15504">
        <w:tc>
          <w:tcPr>
            <w:tcW w:w="2551" w:type="dxa"/>
          </w:tcPr>
          <w:p w:rsidR="00A15504" w:rsidRPr="0033393D" w:rsidRDefault="00A15504" w:rsidP="00A76786">
            <w:pPr>
              <w:pStyle w:val="Table"/>
            </w:pPr>
            <w:r w:rsidRPr="0033393D">
              <w:t>0.3</w:t>
            </w:r>
          </w:p>
        </w:tc>
        <w:tc>
          <w:tcPr>
            <w:tcW w:w="1843" w:type="dxa"/>
          </w:tcPr>
          <w:p w:rsidR="00A15504" w:rsidRPr="0033393D" w:rsidRDefault="00A15504" w:rsidP="00A76786">
            <w:pPr>
              <w:pStyle w:val="Table"/>
            </w:pPr>
            <w:r w:rsidRPr="0033393D">
              <w:t>5.5</w:t>
            </w:r>
          </w:p>
        </w:tc>
      </w:tr>
      <w:tr w:rsidR="00A15504" w:rsidRPr="0033393D" w:rsidTr="00A15504">
        <w:tc>
          <w:tcPr>
            <w:tcW w:w="2551" w:type="dxa"/>
          </w:tcPr>
          <w:p w:rsidR="00A15504" w:rsidRPr="0033393D" w:rsidRDefault="00A15504" w:rsidP="00A76786">
            <w:pPr>
              <w:pStyle w:val="Table"/>
            </w:pPr>
            <w:r w:rsidRPr="0033393D">
              <w:t>1.65</w:t>
            </w:r>
          </w:p>
        </w:tc>
        <w:tc>
          <w:tcPr>
            <w:tcW w:w="1843" w:type="dxa"/>
          </w:tcPr>
          <w:p w:rsidR="00A15504" w:rsidRPr="0033393D" w:rsidRDefault="00A15504" w:rsidP="00A76786">
            <w:pPr>
              <w:pStyle w:val="Table"/>
            </w:pPr>
            <w:r w:rsidRPr="0033393D">
              <w:t>5.5</w:t>
            </w:r>
          </w:p>
        </w:tc>
      </w:tr>
      <w:tr w:rsidR="00A15504" w:rsidRPr="0033393D" w:rsidTr="00A15504">
        <w:tc>
          <w:tcPr>
            <w:tcW w:w="2551" w:type="dxa"/>
          </w:tcPr>
          <w:p w:rsidR="00A15504" w:rsidRPr="0033393D" w:rsidRDefault="00A15504" w:rsidP="00A76786">
            <w:pPr>
              <w:pStyle w:val="Table"/>
            </w:pPr>
            <w:r w:rsidRPr="0033393D">
              <w:t>3</w:t>
            </w:r>
          </w:p>
        </w:tc>
        <w:tc>
          <w:tcPr>
            <w:tcW w:w="1843" w:type="dxa"/>
          </w:tcPr>
          <w:p w:rsidR="00A15504" w:rsidRPr="0033393D" w:rsidRDefault="00A15504" w:rsidP="00A76786">
            <w:pPr>
              <w:pStyle w:val="Table"/>
            </w:pPr>
            <w:r w:rsidRPr="0033393D">
              <w:t>5.5</w:t>
            </w:r>
          </w:p>
        </w:tc>
      </w:tr>
      <w:tr w:rsidR="00A15504" w:rsidRPr="0033393D" w:rsidTr="00A15504">
        <w:tc>
          <w:tcPr>
            <w:tcW w:w="2551" w:type="dxa"/>
          </w:tcPr>
          <w:p w:rsidR="00A15504" w:rsidRPr="0033393D" w:rsidRDefault="00A15504" w:rsidP="00A76786">
            <w:pPr>
              <w:pStyle w:val="Table"/>
            </w:pPr>
            <w:r w:rsidRPr="0033393D">
              <w:t>0.3</w:t>
            </w:r>
          </w:p>
        </w:tc>
        <w:tc>
          <w:tcPr>
            <w:tcW w:w="1843" w:type="dxa"/>
          </w:tcPr>
          <w:p w:rsidR="00A15504" w:rsidRPr="0033393D" w:rsidRDefault="00A15504" w:rsidP="00A76786">
            <w:pPr>
              <w:pStyle w:val="Table"/>
            </w:pPr>
            <w:r w:rsidRPr="0033393D">
              <w:t>10</w:t>
            </w:r>
          </w:p>
        </w:tc>
      </w:tr>
      <w:tr w:rsidR="00A15504" w:rsidRPr="0033393D" w:rsidTr="00A15504">
        <w:tc>
          <w:tcPr>
            <w:tcW w:w="2551" w:type="dxa"/>
          </w:tcPr>
          <w:p w:rsidR="00A15504" w:rsidRPr="0033393D" w:rsidRDefault="00A15504" w:rsidP="00A76786">
            <w:pPr>
              <w:pStyle w:val="Table"/>
            </w:pPr>
            <w:r w:rsidRPr="0033393D">
              <w:t>1.65</w:t>
            </w:r>
          </w:p>
        </w:tc>
        <w:tc>
          <w:tcPr>
            <w:tcW w:w="1843" w:type="dxa"/>
          </w:tcPr>
          <w:p w:rsidR="00A15504" w:rsidRPr="0033393D" w:rsidRDefault="00A15504" w:rsidP="00A76786">
            <w:pPr>
              <w:pStyle w:val="Table"/>
            </w:pPr>
            <w:r w:rsidRPr="0033393D">
              <w:t>10</w:t>
            </w:r>
          </w:p>
        </w:tc>
      </w:tr>
      <w:tr w:rsidR="00A15504" w:rsidRPr="0033393D" w:rsidTr="00A15504">
        <w:tc>
          <w:tcPr>
            <w:tcW w:w="2551" w:type="dxa"/>
          </w:tcPr>
          <w:p w:rsidR="00A15504" w:rsidRPr="0033393D" w:rsidRDefault="00A15504" w:rsidP="00A76786">
            <w:pPr>
              <w:pStyle w:val="Table"/>
            </w:pPr>
            <w:r w:rsidRPr="0033393D">
              <w:t>3</w:t>
            </w:r>
          </w:p>
        </w:tc>
        <w:tc>
          <w:tcPr>
            <w:tcW w:w="1843" w:type="dxa"/>
          </w:tcPr>
          <w:p w:rsidR="00A15504" w:rsidRPr="0033393D" w:rsidRDefault="00A15504" w:rsidP="00A76786">
            <w:pPr>
              <w:pStyle w:val="Table"/>
            </w:pPr>
            <w:r w:rsidRPr="0033393D">
              <w:t>10</w:t>
            </w:r>
          </w:p>
        </w:tc>
      </w:tr>
    </w:tbl>
    <w:p w:rsidR="00A15504" w:rsidRDefault="00A15504"/>
    <w:p w:rsidR="00D93BFF" w:rsidRDefault="00D93BFF"/>
    <w:p w:rsidR="001B1F41" w:rsidRDefault="001B1F41">
      <w:r>
        <w:rPr>
          <w:noProof/>
          <w:lang w:eastAsia="de-AT"/>
        </w:rPr>
        <w:lastRenderedPageBreak/>
        <w:drawing>
          <wp:inline distT="0" distB="0" distL="0" distR="0">
            <wp:extent cx="5038090" cy="3666490"/>
            <wp:effectExtent l="19050" t="0" r="0" b="0"/>
            <wp:docPr id="3" name="Picture 2" descr="D:\Cosima\TU\publications\AnalChimActa POX-PenV\revisions 27092013\Figures\Supp data Fig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sima\TU\publications\AnalChimActa POX-PenV\revisions 27092013\Figures\Supp data Fig C.png"/>
                    <pic:cNvPicPr>
                      <a:picLocks noChangeAspect="1" noChangeArrowheads="1"/>
                    </pic:cNvPicPr>
                  </pic:nvPicPr>
                  <pic:blipFill>
                    <a:blip r:embed="rId5" cstate="print"/>
                    <a:srcRect/>
                    <a:stretch>
                      <a:fillRect/>
                    </a:stretch>
                  </pic:blipFill>
                  <pic:spPr bwMode="auto">
                    <a:xfrm>
                      <a:off x="0" y="0"/>
                      <a:ext cx="5038090" cy="3666490"/>
                    </a:xfrm>
                    <a:prstGeom prst="rect">
                      <a:avLst/>
                    </a:prstGeom>
                    <a:noFill/>
                    <a:ln w="9525">
                      <a:noFill/>
                      <a:miter lim="800000"/>
                      <a:headEnd/>
                      <a:tailEnd/>
                    </a:ln>
                  </pic:spPr>
                </pic:pic>
              </a:graphicData>
            </a:graphic>
          </wp:inline>
        </w:drawing>
      </w:r>
    </w:p>
    <w:p w:rsidR="001B1F41" w:rsidRDefault="001B1F41" w:rsidP="001B1F41">
      <w:r>
        <w:t>Figure B: PCA score plot of the raw data (same wavenumber region as used for the PenV PLS model, see Table 2). Similar trends can be observed for all the fermenations and the standard solutions, however the fermentation 2, during which no PenV was produced, has higher scores on PC 1 than most of the other data.</w:t>
      </w:r>
    </w:p>
    <w:p w:rsidR="001B1F41" w:rsidRPr="001B1F41" w:rsidRDefault="001B1F41">
      <w:pPr>
        <w:rPr>
          <w:b/>
        </w:rPr>
      </w:pPr>
      <w:r>
        <w:rPr>
          <w:noProof/>
          <w:lang w:eastAsia="de-AT"/>
        </w:rPr>
        <w:drawing>
          <wp:inline distT="0" distB="0" distL="0" distR="0">
            <wp:extent cx="5038090" cy="3648710"/>
            <wp:effectExtent l="19050" t="0" r="0" b="0"/>
            <wp:docPr id="4" name="Picture 3" descr="D:\Cosima\TU\publications\AnalChimActa POX-PenV\revisions 27092013\Figures\Supp data Fig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sima\TU\publications\AnalChimActa POX-PenV\revisions 27092013\Figures\Supp data Fig B.png"/>
                    <pic:cNvPicPr>
                      <a:picLocks noChangeAspect="1" noChangeArrowheads="1"/>
                    </pic:cNvPicPr>
                  </pic:nvPicPr>
                  <pic:blipFill>
                    <a:blip r:embed="rId6" cstate="print"/>
                    <a:srcRect/>
                    <a:stretch>
                      <a:fillRect/>
                    </a:stretch>
                  </pic:blipFill>
                  <pic:spPr bwMode="auto">
                    <a:xfrm>
                      <a:off x="0" y="0"/>
                      <a:ext cx="5038090" cy="3648710"/>
                    </a:xfrm>
                    <a:prstGeom prst="rect">
                      <a:avLst/>
                    </a:prstGeom>
                    <a:noFill/>
                    <a:ln w="9525">
                      <a:noFill/>
                      <a:miter lim="800000"/>
                      <a:headEnd/>
                      <a:tailEnd/>
                    </a:ln>
                  </pic:spPr>
                </pic:pic>
              </a:graphicData>
            </a:graphic>
          </wp:inline>
        </w:drawing>
      </w:r>
    </w:p>
    <w:p w:rsidR="001B1F41" w:rsidRDefault="001B1F41">
      <w:r>
        <w:lastRenderedPageBreak/>
        <w:t>Figure C: Spectra acquired every 15 hours over the course of the fed-batch fermentation (difference spectra calculated using t=57.5h as inital spectrum, which was acquired before the POX feed was started).</w:t>
      </w:r>
    </w:p>
    <w:sectPr w:rsidR="001B1F41" w:rsidSect="00731F8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0B5A5C"/>
    <w:multiLevelType w:val="multilevel"/>
    <w:tmpl w:val="E94CB4C6"/>
    <w:lvl w:ilvl="0">
      <w:start w:val="1"/>
      <w:numFmt w:val="decimal"/>
      <w:pStyle w:val="Heading1"/>
      <w:lvlText w:val="%1."/>
      <w:lvlJc w:val="left"/>
      <w:pPr>
        <w:tabs>
          <w:tab w:val="num" w:pos="6840"/>
        </w:tabs>
        <w:ind w:left="6840" w:hanging="360"/>
      </w:pPr>
      <w:rPr>
        <w:rFonts w:cs="Times New Roman"/>
      </w:rPr>
    </w:lvl>
    <w:lvl w:ilvl="1">
      <w:start w:val="1"/>
      <w:numFmt w:val="decimal"/>
      <w:pStyle w:val="Heading2"/>
      <w:lvlText w:val="%1.%2."/>
      <w:lvlJc w:val="left"/>
      <w:pPr>
        <w:tabs>
          <w:tab w:val="num" w:pos="792"/>
        </w:tabs>
        <w:ind w:left="792" w:hanging="432"/>
      </w:pPr>
      <w:rPr>
        <w:rFonts w:cs="Times New Roman"/>
      </w:rPr>
    </w:lvl>
    <w:lvl w:ilvl="2">
      <w:start w:val="1"/>
      <w:numFmt w:val="decimal"/>
      <w:pStyle w:val="Heading3"/>
      <w:lvlText w:val="%1.%2.%3."/>
      <w:lvlJc w:val="left"/>
      <w:pPr>
        <w:tabs>
          <w:tab w:val="num" w:pos="1224"/>
        </w:tabs>
        <w:ind w:left="1224" w:hanging="504"/>
      </w:pPr>
      <w:rPr>
        <w:rFonts w:cs="Times New Roman"/>
      </w:rPr>
    </w:lvl>
    <w:lvl w:ilvl="3">
      <w:start w:val="1"/>
      <w:numFmt w:val="decimal"/>
      <w:pStyle w:val="Heading4"/>
      <w:lvlText w:val="%1.%2.%3.%4."/>
      <w:lvlJc w:val="left"/>
      <w:pPr>
        <w:tabs>
          <w:tab w:val="num" w:pos="1728"/>
        </w:tabs>
        <w:ind w:left="1728" w:hanging="648"/>
      </w:pPr>
      <w:rPr>
        <w:rFonts w:cs="Times New Roman"/>
      </w:rPr>
    </w:lvl>
    <w:lvl w:ilvl="4">
      <w:start w:val="1"/>
      <w:numFmt w:val="decimal"/>
      <w:pStyle w:val="Heading5"/>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3B685E"/>
    <w:rsid w:val="0007237F"/>
    <w:rsid w:val="000927B4"/>
    <w:rsid w:val="000B3DB6"/>
    <w:rsid w:val="000E3321"/>
    <w:rsid w:val="00105615"/>
    <w:rsid w:val="00137A80"/>
    <w:rsid w:val="00182A11"/>
    <w:rsid w:val="001B1F41"/>
    <w:rsid w:val="001F67EC"/>
    <w:rsid w:val="002116DC"/>
    <w:rsid w:val="00271C6A"/>
    <w:rsid w:val="0030595A"/>
    <w:rsid w:val="003B685E"/>
    <w:rsid w:val="003C4B95"/>
    <w:rsid w:val="003F6794"/>
    <w:rsid w:val="004B417D"/>
    <w:rsid w:val="00512680"/>
    <w:rsid w:val="00520D93"/>
    <w:rsid w:val="005A35F9"/>
    <w:rsid w:val="006266DD"/>
    <w:rsid w:val="006E54DA"/>
    <w:rsid w:val="0070174F"/>
    <w:rsid w:val="00731F84"/>
    <w:rsid w:val="007446C0"/>
    <w:rsid w:val="007A3248"/>
    <w:rsid w:val="007D56A0"/>
    <w:rsid w:val="007F34C6"/>
    <w:rsid w:val="007F34F1"/>
    <w:rsid w:val="007F3E84"/>
    <w:rsid w:val="00801C78"/>
    <w:rsid w:val="00805EBB"/>
    <w:rsid w:val="00827AD2"/>
    <w:rsid w:val="00840819"/>
    <w:rsid w:val="00883071"/>
    <w:rsid w:val="0088323A"/>
    <w:rsid w:val="008A5478"/>
    <w:rsid w:val="008A5E27"/>
    <w:rsid w:val="0091558E"/>
    <w:rsid w:val="00962827"/>
    <w:rsid w:val="00992AB2"/>
    <w:rsid w:val="009D04F7"/>
    <w:rsid w:val="00A15504"/>
    <w:rsid w:val="00A4523F"/>
    <w:rsid w:val="00A92148"/>
    <w:rsid w:val="00B668FC"/>
    <w:rsid w:val="00BE381D"/>
    <w:rsid w:val="00C42EFA"/>
    <w:rsid w:val="00C55BCE"/>
    <w:rsid w:val="00C975D0"/>
    <w:rsid w:val="00D0631D"/>
    <w:rsid w:val="00D252E9"/>
    <w:rsid w:val="00D84B11"/>
    <w:rsid w:val="00D93BFF"/>
    <w:rsid w:val="00E267B3"/>
    <w:rsid w:val="00E534CE"/>
    <w:rsid w:val="00E556AC"/>
    <w:rsid w:val="00EA5D9B"/>
    <w:rsid w:val="00EB3384"/>
    <w:rsid w:val="00EB79FD"/>
    <w:rsid w:val="00F0712B"/>
    <w:rsid w:val="00F17060"/>
    <w:rsid w:val="00F2485E"/>
    <w:rsid w:val="00F34A47"/>
    <w:rsid w:val="00F9310C"/>
    <w:rsid w:val="00FD7DFB"/>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F84"/>
  </w:style>
  <w:style w:type="paragraph" w:styleId="Heading1">
    <w:name w:val="heading 1"/>
    <w:basedOn w:val="Normal"/>
    <w:next w:val="Normal"/>
    <w:link w:val="Heading1Char"/>
    <w:qFormat/>
    <w:rsid w:val="00883071"/>
    <w:pPr>
      <w:keepNext/>
      <w:numPr>
        <w:numId w:val="5"/>
      </w:numPr>
      <w:spacing w:before="240" w:after="60" w:line="360" w:lineRule="auto"/>
      <w:outlineLvl w:val="0"/>
    </w:pPr>
    <w:rPr>
      <w:rFonts w:ascii="Calibri" w:eastAsia="Times New Roman" w:hAnsi="Calibri" w:cs="Arial"/>
      <w:b/>
      <w:bCs/>
      <w:kern w:val="32"/>
      <w:sz w:val="40"/>
      <w:szCs w:val="32"/>
      <w:lang w:val="en-US" w:eastAsia="de-AT"/>
    </w:rPr>
  </w:style>
  <w:style w:type="paragraph" w:styleId="Heading2">
    <w:name w:val="heading 2"/>
    <w:basedOn w:val="Normal"/>
    <w:next w:val="Normal"/>
    <w:link w:val="Heading2Char"/>
    <w:qFormat/>
    <w:rsid w:val="00883071"/>
    <w:pPr>
      <w:keepNext/>
      <w:numPr>
        <w:ilvl w:val="1"/>
        <w:numId w:val="5"/>
      </w:numPr>
      <w:spacing w:before="240" w:after="60" w:line="360" w:lineRule="auto"/>
      <w:jc w:val="both"/>
      <w:outlineLvl w:val="1"/>
    </w:pPr>
    <w:rPr>
      <w:rFonts w:ascii="Calibri" w:eastAsia="Times New Roman" w:hAnsi="Calibri" w:cs="Arial"/>
      <w:b/>
      <w:bCs/>
      <w:i/>
      <w:iCs/>
      <w:sz w:val="36"/>
      <w:szCs w:val="28"/>
      <w:lang w:val="en-US" w:eastAsia="de-AT"/>
    </w:rPr>
  </w:style>
  <w:style w:type="paragraph" w:styleId="Heading3">
    <w:name w:val="heading 3"/>
    <w:basedOn w:val="Normal"/>
    <w:next w:val="Normal"/>
    <w:link w:val="Heading3Char"/>
    <w:qFormat/>
    <w:rsid w:val="00883071"/>
    <w:pPr>
      <w:keepNext/>
      <w:numPr>
        <w:ilvl w:val="2"/>
        <w:numId w:val="5"/>
      </w:numPr>
      <w:spacing w:before="240" w:after="60" w:line="360" w:lineRule="auto"/>
      <w:jc w:val="both"/>
      <w:outlineLvl w:val="2"/>
    </w:pPr>
    <w:rPr>
      <w:rFonts w:ascii="Calibri" w:eastAsia="Times New Roman" w:hAnsi="Calibri" w:cs="Arial"/>
      <w:b/>
      <w:bCs/>
      <w:sz w:val="32"/>
      <w:szCs w:val="26"/>
      <w:lang w:val="en-US" w:eastAsia="de-AT"/>
    </w:rPr>
  </w:style>
  <w:style w:type="paragraph" w:styleId="Heading4">
    <w:name w:val="heading 4"/>
    <w:basedOn w:val="Normal"/>
    <w:next w:val="Normal"/>
    <w:link w:val="Heading4Char"/>
    <w:qFormat/>
    <w:rsid w:val="00883071"/>
    <w:pPr>
      <w:keepNext/>
      <w:numPr>
        <w:ilvl w:val="3"/>
        <w:numId w:val="5"/>
      </w:numPr>
      <w:spacing w:before="120" w:after="60" w:line="360" w:lineRule="auto"/>
      <w:jc w:val="both"/>
      <w:outlineLvl w:val="3"/>
    </w:pPr>
    <w:rPr>
      <w:rFonts w:ascii="Calibri" w:eastAsia="Times New Roman" w:hAnsi="Calibri" w:cs="Calibri"/>
      <w:b/>
      <w:bCs/>
      <w:sz w:val="28"/>
      <w:szCs w:val="28"/>
      <w:lang w:val="en-GB" w:eastAsia="de-AT"/>
    </w:rPr>
  </w:style>
  <w:style w:type="paragraph" w:styleId="Heading5">
    <w:name w:val="heading 5"/>
    <w:basedOn w:val="Normal"/>
    <w:next w:val="Normal"/>
    <w:link w:val="Heading5Char"/>
    <w:qFormat/>
    <w:rsid w:val="00883071"/>
    <w:pPr>
      <w:numPr>
        <w:ilvl w:val="4"/>
        <w:numId w:val="5"/>
      </w:numPr>
      <w:spacing w:before="120" w:after="60" w:line="360" w:lineRule="auto"/>
      <w:jc w:val="both"/>
      <w:outlineLvl w:val="4"/>
    </w:pPr>
    <w:rPr>
      <w:rFonts w:ascii="Calibri" w:eastAsia="Times New Roman" w:hAnsi="Calibri" w:cs="Calibri"/>
      <w:b/>
      <w:bCs/>
      <w:i/>
      <w:iCs/>
      <w:sz w:val="26"/>
      <w:szCs w:val="26"/>
      <w:lang w:val="en-GB"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3071"/>
    <w:rPr>
      <w:rFonts w:ascii="Calibri" w:eastAsia="Times New Roman" w:hAnsi="Calibri" w:cs="Arial"/>
      <w:b/>
      <w:bCs/>
      <w:kern w:val="32"/>
      <w:sz w:val="40"/>
      <w:szCs w:val="32"/>
      <w:lang w:val="en-US" w:eastAsia="de-AT"/>
    </w:rPr>
  </w:style>
  <w:style w:type="character" w:customStyle="1" w:styleId="Heading2Char">
    <w:name w:val="Heading 2 Char"/>
    <w:basedOn w:val="DefaultParagraphFont"/>
    <w:link w:val="Heading2"/>
    <w:rsid w:val="00883071"/>
    <w:rPr>
      <w:rFonts w:ascii="Calibri" w:eastAsia="Times New Roman" w:hAnsi="Calibri" w:cs="Arial"/>
      <w:b/>
      <w:bCs/>
      <w:i/>
      <w:iCs/>
      <w:sz w:val="36"/>
      <w:szCs w:val="28"/>
      <w:lang w:val="en-US" w:eastAsia="de-AT"/>
    </w:rPr>
  </w:style>
  <w:style w:type="character" w:customStyle="1" w:styleId="Heading3Char">
    <w:name w:val="Heading 3 Char"/>
    <w:basedOn w:val="DefaultParagraphFont"/>
    <w:link w:val="Heading3"/>
    <w:rsid w:val="00883071"/>
    <w:rPr>
      <w:rFonts w:ascii="Calibri" w:eastAsia="Times New Roman" w:hAnsi="Calibri" w:cs="Arial"/>
      <w:b/>
      <w:bCs/>
      <w:sz w:val="32"/>
      <w:szCs w:val="26"/>
      <w:lang w:val="en-US" w:eastAsia="de-AT"/>
    </w:rPr>
  </w:style>
  <w:style w:type="character" w:customStyle="1" w:styleId="Heading4Char">
    <w:name w:val="Heading 4 Char"/>
    <w:basedOn w:val="DefaultParagraphFont"/>
    <w:link w:val="Heading4"/>
    <w:rsid w:val="00883071"/>
    <w:rPr>
      <w:rFonts w:ascii="Calibri" w:eastAsia="Times New Roman" w:hAnsi="Calibri" w:cs="Calibri"/>
      <w:b/>
      <w:bCs/>
      <w:sz w:val="28"/>
      <w:szCs w:val="28"/>
      <w:lang w:val="en-GB" w:eastAsia="de-AT"/>
    </w:rPr>
  </w:style>
  <w:style w:type="character" w:customStyle="1" w:styleId="Heading5Char">
    <w:name w:val="Heading 5 Char"/>
    <w:basedOn w:val="DefaultParagraphFont"/>
    <w:link w:val="Heading5"/>
    <w:rsid w:val="00883071"/>
    <w:rPr>
      <w:rFonts w:ascii="Calibri" w:eastAsia="Times New Roman" w:hAnsi="Calibri" w:cs="Calibri"/>
      <w:b/>
      <w:bCs/>
      <w:i/>
      <w:iCs/>
      <w:sz w:val="26"/>
      <w:szCs w:val="26"/>
      <w:lang w:val="en-GB" w:eastAsia="de-AT"/>
    </w:rPr>
  </w:style>
  <w:style w:type="paragraph" w:customStyle="1" w:styleId="Table">
    <w:name w:val="Table"/>
    <w:basedOn w:val="Normal"/>
    <w:uiPriority w:val="99"/>
    <w:rsid w:val="00A15504"/>
    <w:pPr>
      <w:spacing w:before="60" w:after="60" w:line="240" w:lineRule="auto"/>
      <w:jc w:val="center"/>
    </w:pPr>
    <w:rPr>
      <w:rFonts w:ascii="Calibri" w:eastAsia="Calibri" w:hAnsi="Calibri" w:cs="Times New Roman"/>
      <w:lang w:val="en-US"/>
    </w:rPr>
  </w:style>
  <w:style w:type="table" w:styleId="TableGrid">
    <w:name w:val="Table Grid"/>
    <w:basedOn w:val="TableNormal"/>
    <w:uiPriority w:val="59"/>
    <w:rsid w:val="00A155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5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D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TU Wien - Campusversion</Company>
  <LinksUpToDate>false</LinksUpToDate>
  <CharactersWithSpaces>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Cosima Koch</dc:creator>
  <cp:keywords/>
  <dc:description/>
  <cp:lastModifiedBy>Cosima Koch</cp:lastModifiedBy>
  <cp:revision>6</cp:revision>
  <dcterms:created xsi:type="dcterms:W3CDTF">2013-10-07T13:51:00Z</dcterms:created>
  <dcterms:modified xsi:type="dcterms:W3CDTF">2013-10-11T15:56:00Z</dcterms:modified>
</cp:coreProperties>
</file>