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39B" w:rsidRPr="000D5FF6" w:rsidRDefault="0030739B" w:rsidP="0044018A">
      <w:pPr>
        <w:rPr>
          <w:b/>
          <w:lang w:val="en-US"/>
        </w:rPr>
      </w:pPr>
      <w:r w:rsidRPr="000D5FF6">
        <w:rPr>
          <w:b/>
          <w:lang w:val="en-US"/>
        </w:rPr>
        <w:t xml:space="preserve">NAME </w:t>
      </w:r>
      <w:proofErr w:type="gramStart"/>
      <w:r w:rsidRPr="000D5FF6">
        <w:rPr>
          <w:b/>
          <w:lang w:val="en-US"/>
        </w:rPr>
        <w:t>01 :</w:t>
      </w:r>
      <w:proofErr w:type="gramEnd"/>
      <w:r w:rsidRPr="000D5FF6">
        <w:rPr>
          <w:lang w:val="en-US"/>
        </w:rPr>
        <w:t xml:space="preserve"> </w:t>
      </w:r>
      <w:r w:rsidRPr="000D5FF6">
        <w:rPr>
          <w:rStyle w:val="Strong"/>
        </w:rPr>
        <w:t>GDA &amp; COA competition</w:t>
      </w:r>
      <w:r w:rsidR="00375122" w:rsidRPr="000D5FF6">
        <w:rPr>
          <w:rStyle w:val="Strong"/>
        </w:rPr>
        <w:br/>
        <w:t xml:space="preserve">NAME 02 </w:t>
      </w:r>
      <w:r w:rsidR="00E34A89" w:rsidRPr="000D5FF6">
        <w:rPr>
          <w:rStyle w:val="Strong"/>
        </w:rPr>
        <w:t xml:space="preserve">: </w:t>
      </w:r>
      <w:r w:rsidR="00E34A89" w:rsidRPr="000D5FF6">
        <w:rPr>
          <w:b/>
        </w:rPr>
        <w:t>The Public Plinth</w:t>
      </w:r>
    </w:p>
    <w:p w:rsidR="0044018A" w:rsidRDefault="0044018A" w:rsidP="00787C5E">
      <w:pPr>
        <w:rPr>
          <w:rFonts w:ascii="Segoe UI" w:eastAsia="Times New Roman" w:hAnsi="Segoe UI" w:cs="Segoe UI"/>
          <w:b/>
          <w:bCs/>
          <w:sz w:val="20"/>
          <w:szCs w:val="20"/>
          <w:lang w:eastAsia="en-IN"/>
        </w:rPr>
      </w:pPr>
      <w:r>
        <w:rPr>
          <w:lang w:val="en-US"/>
        </w:rPr>
        <w:t>Year: 2025</w:t>
      </w:r>
      <w:r>
        <w:rPr>
          <w:lang w:val="en-US"/>
        </w:rPr>
        <w:br/>
        <w:t>Location: Ghaziabad, Uttar Pradesh</w:t>
      </w:r>
      <w:r>
        <w:rPr>
          <w:lang w:val="en-US"/>
        </w:rPr>
        <w:br/>
        <w:t xml:space="preserve">Type: Competition </w:t>
      </w:r>
      <w:r>
        <w:rPr>
          <w:lang w:val="en-US"/>
        </w:rPr>
        <w:br/>
        <w:t xml:space="preserve">Status: NA </w:t>
      </w:r>
      <w:r>
        <w:rPr>
          <w:lang w:val="en-US"/>
        </w:rPr>
        <w:br/>
        <w:t xml:space="preserve">Photographers: NA </w:t>
      </w:r>
    </w:p>
    <w:p w:rsidR="003A3131" w:rsidRPr="003A3131" w:rsidRDefault="003A3131" w:rsidP="003A3131">
      <w:pPr>
        <w:spacing w:before="100" w:beforeAutospacing="1" w:after="100" w:afterAutospacing="1" w:line="240" w:lineRule="auto"/>
        <w:rPr>
          <w:rFonts w:ascii="Segoe UI" w:eastAsia="Times New Roman" w:hAnsi="Segoe UI" w:cs="Segoe UI"/>
          <w:sz w:val="20"/>
          <w:szCs w:val="20"/>
          <w:lang w:eastAsia="en-IN"/>
        </w:rPr>
      </w:pPr>
      <w:bookmarkStart w:id="0" w:name="_GoBack"/>
      <w:bookmarkEnd w:id="0"/>
      <w:r w:rsidRPr="003A3131">
        <w:rPr>
          <w:rFonts w:ascii="Segoe UI" w:eastAsia="Times New Roman" w:hAnsi="Segoe UI" w:cs="Segoe UI"/>
          <w:sz w:val="20"/>
          <w:szCs w:val="20"/>
          <w:lang w:eastAsia="en-IN"/>
        </w:rPr>
        <w:t>The project is conceived as a civic environment rather than a singular building—an open, participative space shaped by the cultural traditions and everyday public life of northern India. It draws from familiar patterns of gathering, movement, and pause, translating them into a contemporary architectural form that encourages interaction, inclusivity, and collective identity.</w:t>
      </w:r>
    </w:p>
    <w:p w:rsidR="003A3131" w:rsidRPr="003A3131" w:rsidRDefault="003A3131" w:rsidP="003A3131">
      <w:pPr>
        <w:spacing w:before="100" w:beforeAutospacing="1" w:after="100" w:afterAutospacing="1" w:line="240" w:lineRule="auto"/>
        <w:rPr>
          <w:rFonts w:ascii="Segoe UI" w:eastAsia="Times New Roman" w:hAnsi="Segoe UI" w:cs="Segoe UI"/>
          <w:sz w:val="20"/>
          <w:szCs w:val="20"/>
          <w:lang w:eastAsia="en-IN"/>
        </w:rPr>
      </w:pPr>
      <w:r w:rsidRPr="003A3131">
        <w:rPr>
          <w:rFonts w:ascii="Segoe UI" w:eastAsia="Times New Roman" w:hAnsi="Segoe UI" w:cs="Segoe UI"/>
          <w:sz w:val="20"/>
          <w:szCs w:val="20"/>
          <w:lang w:eastAsia="en-IN"/>
        </w:rPr>
        <w:t>Stepped plinths, courtyards, and open gathering zones structure the spatial experience, allowing spaces to be occupied informally for pause, dialogue, and performance. The organisation of movement is inspired by the density and flow of traditional public streets, creating an intuitive sequence of spaces that remain accessible and engaging at multiple scales.</w:t>
      </w:r>
    </w:p>
    <w:p w:rsidR="003A3131" w:rsidRPr="003A3131" w:rsidRDefault="003A3131" w:rsidP="003A3131">
      <w:pPr>
        <w:spacing w:before="100" w:beforeAutospacing="1" w:after="100" w:afterAutospacing="1" w:line="240" w:lineRule="auto"/>
        <w:rPr>
          <w:rFonts w:ascii="Segoe UI" w:eastAsia="Times New Roman" w:hAnsi="Segoe UI" w:cs="Segoe UI"/>
          <w:sz w:val="20"/>
          <w:szCs w:val="20"/>
          <w:lang w:eastAsia="en-IN"/>
        </w:rPr>
      </w:pPr>
      <w:r w:rsidRPr="003A3131">
        <w:rPr>
          <w:rFonts w:ascii="Segoe UI" w:eastAsia="Times New Roman" w:hAnsi="Segoe UI" w:cs="Segoe UI"/>
          <w:sz w:val="20"/>
          <w:szCs w:val="20"/>
          <w:lang w:eastAsia="en-IN"/>
        </w:rPr>
        <w:t>The built form is expressed as a monolithic volume, carved to introduce light, air, and permeability. A central vertical void acts as both a light well and wind catcher, strengthening passive ventilation while forming a civic core. Circulation elements double as social edges, blurring the boundary between interior and exterior. At the heart of the project, a community square functions as a public threshold, supporting everyday use and larger collective events.</w:t>
      </w:r>
    </w:p>
    <w:p w:rsidR="003A3131" w:rsidRPr="003A3131" w:rsidRDefault="003A3131" w:rsidP="003A3131">
      <w:pPr>
        <w:spacing w:before="100" w:beforeAutospacing="1" w:after="100" w:afterAutospacing="1" w:line="240" w:lineRule="auto"/>
        <w:rPr>
          <w:rFonts w:ascii="Segoe UI" w:eastAsia="Times New Roman" w:hAnsi="Segoe UI" w:cs="Segoe UI"/>
          <w:sz w:val="20"/>
          <w:szCs w:val="20"/>
          <w:lang w:eastAsia="en-IN"/>
        </w:rPr>
      </w:pPr>
      <w:r w:rsidRPr="003A3131">
        <w:rPr>
          <w:rFonts w:ascii="Segoe UI" w:eastAsia="Times New Roman" w:hAnsi="Segoe UI" w:cs="Segoe UI"/>
          <w:sz w:val="20"/>
          <w:szCs w:val="20"/>
          <w:lang w:eastAsia="en-IN"/>
        </w:rPr>
        <w:t>Designed for extreme climatic conditions and resource efficiency, the building relies primarily on passive strategies. North–south orientation ensures optimal daylight with reduced heat gain. Cross ventilation is achieved across all major spaces, supported by stack ventilation through vertical voids and internal courtyards that assist in cooling. Deep overhangs and shaded transitional zones protect interiors from harsh climatic exposure, reducing dependence on mechanical systems.</w:t>
      </w:r>
    </w:p>
    <w:p w:rsidR="003A3131" w:rsidRPr="003A3131" w:rsidRDefault="003A3131" w:rsidP="003A3131">
      <w:pPr>
        <w:spacing w:before="100" w:beforeAutospacing="1" w:after="100" w:afterAutospacing="1" w:line="240" w:lineRule="auto"/>
        <w:rPr>
          <w:rFonts w:ascii="Segoe UI" w:eastAsia="Times New Roman" w:hAnsi="Segoe UI" w:cs="Segoe UI"/>
          <w:sz w:val="20"/>
          <w:szCs w:val="20"/>
          <w:lang w:eastAsia="en-IN"/>
        </w:rPr>
      </w:pPr>
      <w:r w:rsidRPr="003A3131">
        <w:rPr>
          <w:rFonts w:ascii="Segoe UI" w:eastAsia="Times New Roman" w:hAnsi="Segoe UI" w:cs="Segoe UI"/>
          <w:sz w:val="20"/>
          <w:szCs w:val="20"/>
          <w:lang w:eastAsia="en-IN"/>
        </w:rPr>
        <w:t xml:space="preserve">Landscape is integral to the project’s environmental performance. Indigenous planting, rainwater harvesting, and reuse of treated </w:t>
      </w:r>
      <w:r w:rsidR="0044018A" w:rsidRPr="003A3131">
        <w:rPr>
          <w:rFonts w:ascii="Segoe UI" w:eastAsia="Times New Roman" w:hAnsi="Segoe UI" w:cs="Segoe UI"/>
          <w:sz w:val="20"/>
          <w:szCs w:val="20"/>
          <w:lang w:eastAsia="en-IN"/>
        </w:rPr>
        <w:t>grey water</w:t>
      </w:r>
      <w:r w:rsidRPr="003A3131">
        <w:rPr>
          <w:rFonts w:ascii="Segoe UI" w:eastAsia="Times New Roman" w:hAnsi="Segoe UI" w:cs="Segoe UI"/>
          <w:sz w:val="20"/>
          <w:szCs w:val="20"/>
          <w:lang w:eastAsia="en-IN"/>
        </w:rPr>
        <w:t xml:space="preserve"> significantly reduce water demand while enhancing the microclimate. The massing is zoned to allow different functions to respond independently to climate, ensuring comfort even during peak summer conditions.</w:t>
      </w:r>
    </w:p>
    <w:p w:rsidR="003A3131" w:rsidRPr="003A3131" w:rsidRDefault="003A3131" w:rsidP="003A3131">
      <w:pPr>
        <w:spacing w:before="100" w:beforeAutospacing="1" w:after="100" w:afterAutospacing="1" w:line="240" w:lineRule="auto"/>
        <w:rPr>
          <w:rFonts w:ascii="Segoe UI" w:eastAsia="Times New Roman" w:hAnsi="Segoe UI" w:cs="Segoe UI"/>
          <w:sz w:val="20"/>
          <w:szCs w:val="20"/>
          <w:lang w:eastAsia="en-IN"/>
        </w:rPr>
      </w:pPr>
      <w:r w:rsidRPr="003A3131">
        <w:rPr>
          <w:rFonts w:ascii="Segoe UI" w:eastAsia="Times New Roman" w:hAnsi="Segoe UI" w:cs="Segoe UI"/>
          <w:sz w:val="20"/>
          <w:szCs w:val="20"/>
          <w:lang w:eastAsia="en-IN"/>
        </w:rPr>
        <w:t xml:space="preserve">Material choices are local, durable, and climate-responsive. Red sandstone provides thermal stability while anchoring the architecture in regional material traditions. </w:t>
      </w:r>
      <w:proofErr w:type="spellStart"/>
      <w:r w:rsidRPr="003A3131">
        <w:rPr>
          <w:rFonts w:ascii="Segoe UI" w:eastAsia="Times New Roman" w:hAnsi="Segoe UI" w:cs="Segoe UI"/>
          <w:sz w:val="20"/>
          <w:szCs w:val="20"/>
          <w:lang w:eastAsia="en-IN"/>
        </w:rPr>
        <w:t>Jali</w:t>
      </w:r>
      <w:proofErr w:type="spellEnd"/>
      <w:r w:rsidRPr="003A3131">
        <w:rPr>
          <w:rFonts w:ascii="Segoe UI" w:eastAsia="Times New Roman" w:hAnsi="Segoe UI" w:cs="Segoe UI"/>
          <w:sz w:val="20"/>
          <w:szCs w:val="20"/>
          <w:lang w:eastAsia="en-IN"/>
        </w:rPr>
        <w:t xml:space="preserve"> screens offer shading and filtered daylight while maintaining airflow and visual connection. Solar energy systems further reduce operational energy demand.</w:t>
      </w:r>
    </w:p>
    <w:p w:rsidR="003A3131" w:rsidRPr="003A3131" w:rsidRDefault="003A3131" w:rsidP="003A3131">
      <w:pPr>
        <w:spacing w:before="100" w:beforeAutospacing="1" w:after="100" w:afterAutospacing="1" w:line="240" w:lineRule="auto"/>
        <w:rPr>
          <w:rFonts w:ascii="Segoe UI" w:eastAsia="Times New Roman" w:hAnsi="Segoe UI" w:cs="Segoe UI"/>
          <w:sz w:val="20"/>
          <w:szCs w:val="20"/>
          <w:lang w:eastAsia="en-IN"/>
        </w:rPr>
      </w:pPr>
      <w:r w:rsidRPr="003A3131">
        <w:rPr>
          <w:rFonts w:ascii="Segoe UI" w:eastAsia="Times New Roman" w:hAnsi="Segoe UI" w:cs="Segoe UI"/>
          <w:sz w:val="20"/>
          <w:szCs w:val="20"/>
          <w:lang w:eastAsia="en-IN"/>
        </w:rPr>
        <w:t>Efficient space planning, compact circulation, and multifunctional areas ensure optimal utilisation of built space. Construction strategies prioritise locally available materials, labour, and cost-effective systems, making the project suitable for beneficiary-led execution and long-term durability.</w:t>
      </w:r>
    </w:p>
    <w:p w:rsidR="000F707D" w:rsidRPr="003A3131" w:rsidRDefault="003A3131" w:rsidP="0030739B">
      <w:pPr>
        <w:spacing w:before="100" w:beforeAutospacing="1" w:after="100" w:afterAutospacing="1" w:line="240" w:lineRule="auto"/>
        <w:rPr>
          <w:rFonts w:ascii="Segoe UI" w:hAnsi="Segoe UI" w:cs="Segoe UI"/>
          <w:sz w:val="20"/>
          <w:szCs w:val="20"/>
        </w:rPr>
      </w:pPr>
      <w:r w:rsidRPr="003A3131">
        <w:rPr>
          <w:rFonts w:ascii="Segoe UI" w:eastAsia="Times New Roman" w:hAnsi="Segoe UI" w:cs="Segoe UI"/>
          <w:sz w:val="20"/>
          <w:szCs w:val="20"/>
          <w:lang w:eastAsia="en-IN"/>
        </w:rPr>
        <w:t>Overall, the project offers a sustainable civic space rooted in climate, culture, and collective life—where architecture emerges from context rather than imposition.</w:t>
      </w:r>
    </w:p>
    <w:sectPr w:rsidR="000F707D" w:rsidRPr="003A3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131"/>
    <w:rsid w:val="000A1DB9"/>
    <w:rsid w:val="000B7B97"/>
    <w:rsid w:val="000D5FF6"/>
    <w:rsid w:val="0030739B"/>
    <w:rsid w:val="00330C8A"/>
    <w:rsid w:val="00375122"/>
    <w:rsid w:val="003A3131"/>
    <w:rsid w:val="0044018A"/>
    <w:rsid w:val="00787C5E"/>
    <w:rsid w:val="00E34A89"/>
    <w:rsid w:val="00EE7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A8B045-84B4-4F0D-A55A-2CA2BA59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A31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313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A31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73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482632">
      <w:bodyDiv w:val="1"/>
      <w:marLeft w:val="0"/>
      <w:marRight w:val="0"/>
      <w:marTop w:val="0"/>
      <w:marBottom w:val="0"/>
      <w:divBdr>
        <w:top w:val="none" w:sz="0" w:space="0" w:color="auto"/>
        <w:left w:val="none" w:sz="0" w:space="0" w:color="auto"/>
        <w:bottom w:val="none" w:sz="0" w:space="0" w:color="auto"/>
        <w:right w:val="none" w:sz="0" w:space="0" w:color="auto"/>
      </w:divBdr>
      <w:divsChild>
        <w:div w:id="2068146841">
          <w:marLeft w:val="0"/>
          <w:marRight w:val="0"/>
          <w:marTop w:val="0"/>
          <w:marBottom w:val="0"/>
          <w:divBdr>
            <w:top w:val="none" w:sz="0" w:space="0" w:color="auto"/>
            <w:left w:val="none" w:sz="0" w:space="0" w:color="auto"/>
            <w:bottom w:val="none" w:sz="0" w:space="0" w:color="auto"/>
            <w:right w:val="none" w:sz="0" w:space="0" w:color="auto"/>
          </w:divBdr>
          <w:divsChild>
            <w:div w:id="1307857031">
              <w:marLeft w:val="0"/>
              <w:marRight w:val="0"/>
              <w:marTop w:val="0"/>
              <w:marBottom w:val="0"/>
              <w:divBdr>
                <w:top w:val="none" w:sz="0" w:space="0" w:color="auto"/>
                <w:left w:val="none" w:sz="0" w:space="0" w:color="auto"/>
                <w:bottom w:val="none" w:sz="0" w:space="0" w:color="auto"/>
                <w:right w:val="none" w:sz="0" w:space="0" w:color="auto"/>
              </w:divBdr>
            </w:div>
          </w:divsChild>
        </w:div>
        <w:div w:id="1951887858">
          <w:marLeft w:val="0"/>
          <w:marRight w:val="0"/>
          <w:marTop w:val="0"/>
          <w:marBottom w:val="0"/>
          <w:divBdr>
            <w:top w:val="none" w:sz="0" w:space="0" w:color="auto"/>
            <w:left w:val="none" w:sz="0" w:space="0" w:color="auto"/>
            <w:bottom w:val="none" w:sz="0" w:space="0" w:color="auto"/>
            <w:right w:val="none" w:sz="0" w:space="0" w:color="auto"/>
          </w:divBdr>
          <w:divsChild>
            <w:div w:id="2982681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7836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Karthik</dc:creator>
  <cp:keywords/>
  <dc:description/>
  <cp:lastModifiedBy>Aswin Karthik</cp:lastModifiedBy>
  <cp:revision>12</cp:revision>
  <dcterms:created xsi:type="dcterms:W3CDTF">2026-01-29T10:28:00Z</dcterms:created>
  <dcterms:modified xsi:type="dcterms:W3CDTF">2026-03-15T19:40:00Z</dcterms:modified>
</cp:coreProperties>
</file>